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96" w:rsidRPr="00C240BB" w:rsidRDefault="005E2796">
      <w:pPr>
        <w:rPr>
          <w:rFonts w:cs="Arial"/>
        </w:rPr>
      </w:pPr>
    </w:p>
    <w:tbl>
      <w:tblPr>
        <w:tblpPr w:leftFromText="180" w:rightFromText="180" w:vertAnchor="page" w:horzAnchor="margin" w:tblpY="3631"/>
        <w:tblW w:w="9606" w:type="dxa"/>
        <w:tblLayout w:type="fixed"/>
        <w:tblLook w:val="01E0" w:firstRow="1" w:lastRow="1" w:firstColumn="1" w:lastColumn="1" w:noHBand="0" w:noVBand="0"/>
      </w:tblPr>
      <w:tblGrid>
        <w:gridCol w:w="4914"/>
        <w:gridCol w:w="4692"/>
      </w:tblGrid>
      <w:tr w:rsidR="008E0B98" w:rsidRPr="00C240BB" w:rsidTr="008E0B98">
        <w:tc>
          <w:tcPr>
            <w:tcW w:w="4914" w:type="dxa"/>
          </w:tcPr>
          <w:p w:rsidR="008E0B98" w:rsidRPr="00C240BB" w:rsidRDefault="008E0B98" w:rsidP="003850B4">
            <w:pPr>
              <w:rPr>
                <w:rFonts w:cs="Arial"/>
                <w:iCs/>
              </w:rPr>
            </w:pPr>
            <w:r w:rsidRPr="00C240BB">
              <w:rPr>
                <w:rFonts w:cs="Arial"/>
                <w:b/>
              </w:rPr>
              <w:t>RAZDJEL: MINISTARSTVO ZNANOST</w:t>
            </w:r>
            <w:r w:rsidR="003850B4" w:rsidRPr="00C240BB">
              <w:rPr>
                <w:rFonts w:cs="Arial"/>
                <w:b/>
              </w:rPr>
              <w:t>I</w:t>
            </w:r>
            <w:r w:rsidRPr="00C240BB">
              <w:rPr>
                <w:rFonts w:cs="Arial"/>
                <w:b/>
              </w:rPr>
              <w:t xml:space="preserve"> </w:t>
            </w:r>
            <w:r w:rsidR="003850B4" w:rsidRPr="00C240BB">
              <w:rPr>
                <w:rFonts w:cs="Arial"/>
                <w:b/>
              </w:rPr>
              <w:t xml:space="preserve">I </w:t>
            </w:r>
            <w:r w:rsidRPr="00C240BB">
              <w:rPr>
                <w:rFonts w:cs="Arial"/>
                <w:b/>
              </w:rPr>
              <w:t xml:space="preserve">OBRAZOVANJA </w:t>
            </w:r>
          </w:p>
        </w:tc>
        <w:tc>
          <w:tcPr>
            <w:tcW w:w="4692" w:type="dxa"/>
          </w:tcPr>
          <w:p w:rsidR="008E0B98" w:rsidRPr="00C240BB" w:rsidRDefault="008E0B98" w:rsidP="008E0B98">
            <w:pPr>
              <w:rPr>
                <w:rFonts w:cs="Arial"/>
              </w:rPr>
            </w:pPr>
            <w:r w:rsidRPr="00C240BB">
              <w:rPr>
                <w:rFonts w:cs="Arial"/>
                <w:b/>
                <w:bCs/>
                <w:iCs/>
              </w:rPr>
              <w:t xml:space="preserve">           ŠIFRA ŠKOLE: 05-086-502</w:t>
            </w:r>
          </w:p>
        </w:tc>
      </w:tr>
      <w:tr w:rsidR="008E0B98" w:rsidRPr="00C240BB" w:rsidTr="0082193D">
        <w:trPr>
          <w:trHeight w:val="1168"/>
        </w:trPr>
        <w:tc>
          <w:tcPr>
            <w:tcW w:w="4914" w:type="dxa"/>
          </w:tcPr>
          <w:p w:rsidR="008E0B98" w:rsidRPr="00C240BB" w:rsidRDefault="008E0B98" w:rsidP="008E0B98">
            <w:pPr>
              <w:rPr>
                <w:rFonts w:cs="Arial"/>
                <w:b/>
              </w:rPr>
            </w:pPr>
            <w:r w:rsidRPr="00C240BB">
              <w:rPr>
                <w:rFonts w:cs="Arial"/>
                <w:b/>
              </w:rPr>
              <w:t xml:space="preserve">RAZDJEL: 080    </w:t>
            </w:r>
          </w:p>
          <w:p w:rsidR="008E0B98" w:rsidRPr="00C240BB" w:rsidRDefault="008E0B98" w:rsidP="008E0B98">
            <w:pPr>
              <w:rPr>
                <w:rFonts w:cs="Arial"/>
              </w:rPr>
            </w:pPr>
            <w:r w:rsidRPr="00C240BB">
              <w:rPr>
                <w:rFonts w:cs="Arial"/>
                <w:b/>
              </w:rPr>
              <w:t>RKP: 19214</w:t>
            </w:r>
          </w:p>
          <w:p w:rsidR="008E0B98" w:rsidRPr="00C240BB" w:rsidRDefault="008E0B98" w:rsidP="008E0B98">
            <w:pPr>
              <w:rPr>
                <w:rFonts w:cs="Arial"/>
                <w:iCs/>
              </w:rPr>
            </w:pPr>
          </w:p>
        </w:tc>
        <w:tc>
          <w:tcPr>
            <w:tcW w:w="4692" w:type="dxa"/>
          </w:tcPr>
          <w:p w:rsidR="008E0B98" w:rsidRPr="00C240BB" w:rsidRDefault="008E0B98" w:rsidP="008E0B98">
            <w:pPr>
              <w:rPr>
                <w:rFonts w:cs="Arial"/>
                <w:b/>
              </w:rPr>
            </w:pPr>
            <w:r w:rsidRPr="00C240BB">
              <w:rPr>
                <w:rFonts w:cs="Arial"/>
                <w:b/>
              </w:rPr>
              <w:t xml:space="preserve">           PRORAČUNSKI KORISNIK: </w:t>
            </w:r>
          </w:p>
          <w:p w:rsidR="008E0B98" w:rsidRPr="00C240BB" w:rsidRDefault="008E0B98" w:rsidP="008E0B98">
            <w:pPr>
              <w:rPr>
                <w:rFonts w:cs="Arial"/>
              </w:rPr>
            </w:pPr>
            <w:r w:rsidRPr="00C240BB">
              <w:rPr>
                <w:rFonts w:cs="Arial"/>
                <w:b/>
              </w:rPr>
              <w:t xml:space="preserve">           DRUGA GIMNAZIJA VARAŽDIN</w:t>
            </w:r>
          </w:p>
        </w:tc>
      </w:tr>
    </w:tbl>
    <w:p w:rsidR="00873CBB" w:rsidRPr="00C240BB" w:rsidRDefault="00873CBB" w:rsidP="00873CBB">
      <w:pPr>
        <w:pStyle w:val="Naslov2"/>
        <w:jc w:val="center"/>
        <w:rPr>
          <w:rFonts w:asciiTheme="minorHAnsi" w:hAnsiTheme="minorHAnsi"/>
          <w:i w:val="0"/>
        </w:rPr>
      </w:pPr>
      <w:r w:rsidRPr="00C240BB">
        <w:rPr>
          <w:rFonts w:asciiTheme="minorHAnsi" w:hAnsiTheme="minorHAnsi"/>
          <w:i w:val="0"/>
        </w:rPr>
        <w:t>BILJEŠKE UZ FINANCIJSKE IZVJEŠTAJE</w:t>
      </w:r>
    </w:p>
    <w:p w:rsidR="00873CBB" w:rsidRPr="00C240BB" w:rsidRDefault="00873CBB" w:rsidP="00873CBB">
      <w:pPr>
        <w:jc w:val="center"/>
        <w:rPr>
          <w:rFonts w:cs="Arial"/>
          <w:b/>
          <w:sz w:val="28"/>
          <w:szCs w:val="28"/>
        </w:rPr>
      </w:pPr>
      <w:r w:rsidRPr="00C240BB">
        <w:rPr>
          <w:rFonts w:cs="Arial"/>
          <w:b/>
          <w:bCs/>
          <w:iCs/>
          <w:sz w:val="28"/>
          <w:szCs w:val="28"/>
        </w:rPr>
        <w:t>01. SIJEČNJA - 31. PROSINCA 201</w:t>
      </w:r>
      <w:r w:rsidR="005E334E" w:rsidRPr="00C240BB">
        <w:rPr>
          <w:rFonts w:cs="Arial"/>
          <w:b/>
          <w:bCs/>
          <w:iCs/>
          <w:sz w:val="28"/>
          <w:szCs w:val="28"/>
        </w:rPr>
        <w:t>8</w:t>
      </w:r>
      <w:r w:rsidRPr="00C240BB">
        <w:rPr>
          <w:rFonts w:cs="Arial"/>
          <w:b/>
          <w:bCs/>
          <w:iCs/>
          <w:sz w:val="28"/>
          <w:szCs w:val="28"/>
        </w:rPr>
        <w:t>.</w:t>
      </w:r>
    </w:p>
    <w:p w:rsidR="00873CBB" w:rsidRPr="00C240BB" w:rsidRDefault="00873CBB"/>
    <w:p w:rsidR="00873CBB" w:rsidRPr="00C240BB" w:rsidRDefault="00873CBB" w:rsidP="00873CBB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C240BB">
        <w:rPr>
          <w:rFonts w:cs="Arial"/>
          <w:b/>
          <w:sz w:val="28"/>
          <w:szCs w:val="28"/>
        </w:rPr>
        <w:t>BILJEŠKE UZ BILANCU</w:t>
      </w:r>
    </w:p>
    <w:p w:rsidR="00873CBB" w:rsidRPr="00C240BB" w:rsidRDefault="00873CBB" w:rsidP="00873CBB">
      <w:pPr>
        <w:pStyle w:val="Odlomakpopisa"/>
        <w:ind w:left="1080"/>
        <w:rPr>
          <w:rFonts w:cs="Arial"/>
          <w:sz w:val="28"/>
          <w:szCs w:val="28"/>
        </w:rPr>
      </w:pPr>
    </w:p>
    <w:p w:rsidR="00E421AC" w:rsidRPr="00C240BB" w:rsidRDefault="00873CBB" w:rsidP="00E421AC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002 </w:t>
      </w:r>
      <w:r w:rsidRPr="00C240BB">
        <w:rPr>
          <w:rFonts w:cs="Arial"/>
          <w:b/>
          <w:sz w:val="24"/>
          <w:szCs w:val="24"/>
        </w:rPr>
        <w:tab/>
      </w:r>
    </w:p>
    <w:p w:rsidR="00873CBB" w:rsidRPr="00C240BB" w:rsidRDefault="00873CBB" w:rsidP="00CB7451">
      <w:pPr>
        <w:ind w:left="360"/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sz w:val="24"/>
          <w:szCs w:val="24"/>
        </w:rPr>
        <w:t>Vrijednost nefina</w:t>
      </w:r>
      <w:r w:rsidR="00CB7451" w:rsidRPr="00C240BB">
        <w:rPr>
          <w:rFonts w:cs="Arial"/>
          <w:sz w:val="24"/>
          <w:szCs w:val="24"/>
        </w:rPr>
        <w:t>ncijske imovine</w:t>
      </w:r>
      <w:r w:rsidR="00F1602D" w:rsidRPr="00C240BB">
        <w:rPr>
          <w:rFonts w:cs="Arial"/>
          <w:sz w:val="24"/>
          <w:szCs w:val="24"/>
        </w:rPr>
        <w:t xml:space="preserve"> u 201</w:t>
      </w:r>
      <w:r w:rsidR="00241D0C" w:rsidRPr="00C240BB">
        <w:rPr>
          <w:rFonts w:cs="Arial"/>
          <w:sz w:val="24"/>
          <w:szCs w:val="24"/>
        </w:rPr>
        <w:t>8</w:t>
      </w:r>
      <w:r w:rsidRPr="00C240BB">
        <w:rPr>
          <w:rFonts w:cs="Arial"/>
          <w:sz w:val="24"/>
          <w:szCs w:val="24"/>
        </w:rPr>
        <w:t xml:space="preserve">. iznosi </w:t>
      </w:r>
      <w:r w:rsidR="00F1602D" w:rsidRPr="00C240BB">
        <w:rPr>
          <w:rFonts w:cs="Arial"/>
          <w:sz w:val="24"/>
          <w:szCs w:val="24"/>
        </w:rPr>
        <w:t>7.</w:t>
      </w:r>
      <w:r w:rsidR="00241D0C" w:rsidRPr="00C240BB">
        <w:rPr>
          <w:rFonts w:cs="Arial"/>
          <w:sz w:val="24"/>
          <w:szCs w:val="24"/>
        </w:rPr>
        <w:t>420.742</w:t>
      </w:r>
      <w:r w:rsidR="00F1602D" w:rsidRPr="00C240BB">
        <w:rPr>
          <w:rFonts w:cs="Arial"/>
          <w:sz w:val="24"/>
          <w:szCs w:val="24"/>
        </w:rPr>
        <w:t xml:space="preserve"> </w:t>
      </w:r>
      <w:r w:rsidR="00CB7451" w:rsidRPr="00C240BB">
        <w:rPr>
          <w:rFonts w:cs="Arial"/>
          <w:sz w:val="24"/>
          <w:szCs w:val="24"/>
        </w:rPr>
        <w:t>kn. Izvršene su nabavke nefi</w:t>
      </w:r>
      <w:r w:rsidR="00241D0C" w:rsidRPr="00C240BB">
        <w:rPr>
          <w:rFonts w:cs="Arial"/>
          <w:sz w:val="24"/>
          <w:szCs w:val="24"/>
        </w:rPr>
        <w:t xml:space="preserve">nancijske godine tijekom godine,a  </w:t>
      </w:r>
      <w:r w:rsidR="00CB7451" w:rsidRPr="00C240BB">
        <w:rPr>
          <w:rFonts w:cs="Arial"/>
          <w:sz w:val="24"/>
          <w:szCs w:val="24"/>
        </w:rPr>
        <w:t>izvršen</w:t>
      </w:r>
      <w:r w:rsidR="00241D0C" w:rsidRPr="00C240BB">
        <w:rPr>
          <w:rFonts w:cs="Arial"/>
          <w:sz w:val="24"/>
          <w:szCs w:val="24"/>
        </w:rPr>
        <w:t xml:space="preserve"> je i</w:t>
      </w:r>
      <w:r w:rsidR="00CB7451" w:rsidRPr="00C240BB">
        <w:rPr>
          <w:rFonts w:cs="Arial"/>
          <w:sz w:val="24"/>
          <w:szCs w:val="24"/>
        </w:rPr>
        <w:t xml:space="preserve"> ispravak vrijednosti. </w:t>
      </w:r>
    </w:p>
    <w:p w:rsidR="00873CBB" w:rsidRPr="00C240BB" w:rsidRDefault="00047EA9" w:rsidP="00873CBB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067</w:t>
      </w:r>
    </w:p>
    <w:p w:rsidR="00047EA9" w:rsidRPr="00C240BB" w:rsidRDefault="00047EA9" w:rsidP="00CB7451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Stanje</w:t>
      </w:r>
      <w:r w:rsidR="00873CBB" w:rsidRPr="00C240BB">
        <w:rPr>
          <w:rFonts w:cs="Arial"/>
          <w:sz w:val="24"/>
          <w:szCs w:val="24"/>
        </w:rPr>
        <w:t xml:space="preserve"> na žiro računu</w:t>
      </w:r>
      <w:r w:rsidR="00CB7451" w:rsidRPr="00C240BB">
        <w:rPr>
          <w:rFonts w:cs="Arial"/>
          <w:sz w:val="24"/>
          <w:szCs w:val="24"/>
        </w:rPr>
        <w:t xml:space="preserve"> banke na dan 31.12.201</w:t>
      </w:r>
      <w:r w:rsidR="000B77EA" w:rsidRPr="00C240BB">
        <w:rPr>
          <w:rFonts w:cs="Arial"/>
          <w:sz w:val="24"/>
          <w:szCs w:val="24"/>
        </w:rPr>
        <w:t>8</w:t>
      </w:r>
      <w:r w:rsidR="00CB7451" w:rsidRPr="00C240BB">
        <w:rPr>
          <w:rFonts w:cs="Arial"/>
          <w:sz w:val="24"/>
          <w:szCs w:val="24"/>
        </w:rPr>
        <w:t>.</w:t>
      </w:r>
      <w:r w:rsidRPr="00C240BB">
        <w:rPr>
          <w:rFonts w:cs="Arial"/>
          <w:sz w:val="24"/>
          <w:szCs w:val="24"/>
        </w:rPr>
        <w:t xml:space="preserve"> iznosi </w:t>
      </w:r>
      <w:r w:rsidR="000B77EA" w:rsidRPr="00C240BB">
        <w:rPr>
          <w:rFonts w:cs="Arial"/>
          <w:sz w:val="24"/>
          <w:szCs w:val="24"/>
        </w:rPr>
        <w:t>2.206.936</w:t>
      </w:r>
      <w:r w:rsidRPr="00C240BB">
        <w:rPr>
          <w:rFonts w:cs="Arial"/>
          <w:sz w:val="24"/>
          <w:szCs w:val="24"/>
        </w:rPr>
        <w:t xml:space="preserve"> </w:t>
      </w:r>
      <w:r w:rsidR="000B77EA" w:rsidRPr="00C240BB">
        <w:rPr>
          <w:rFonts w:cs="Arial"/>
          <w:sz w:val="24"/>
          <w:szCs w:val="24"/>
        </w:rPr>
        <w:t>kn, a sadrži sredstva uplaćena</w:t>
      </w:r>
      <w:r w:rsidRPr="00C240BB">
        <w:rPr>
          <w:rFonts w:cs="Arial"/>
          <w:sz w:val="24"/>
          <w:szCs w:val="24"/>
        </w:rPr>
        <w:t xml:space="preserve"> od strane osnivača za isplatu dob</w:t>
      </w:r>
      <w:r w:rsidR="00555DBE" w:rsidRPr="00C240BB">
        <w:rPr>
          <w:rFonts w:cs="Arial"/>
          <w:sz w:val="24"/>
          <w:szCs w:val="24"/>
        </w:rPr>
        <w:t xml:space="preserve">avljačima </w:t>
      </w:r>
      <w:r w:rsidR="000B77EA" w:rsidRPr="00C240BB">
        <w:rPr>
          <w:rFonts w:cs="Arial"/>
          <w:sz w:val="24"/>
          <w:szCs w:val="24"/>
        </w:rPr>
        <w:t xml:space="preserve">i izvođaču radova na Energetskoj obnovi zgrade Druge gimnazije Varaždin, sredstva primljena od strane Ministarstva znanosti i obrazovanja za provođenje eksperimentalnog programa „Škola za život“ i nabavku informatičke opreme, sredstva za projekt </w:t>
      </w:r>
      <w:proofErr w:type="spellStart"/>
      <w:r w:rsidR="000B77EA" w:rsidRPr="00C240BB">
        <w:rPr>
          <w:rFonts w:cs="Arial"/>
          <w:sz w:val="24"/>
          <w:szCs w:val="24"/>
        </w:rPr>
        <w:t>Erasmus</w:t>
      </w:r>
      <w:proofErr w:type="spellEnd"/>
      <w:r w:rsidR="000B77EA" w:rsidRPr="00C240BB">
        <w:rPr>
          <w:rFonts w:cs="Arial"/>
          <w:sz w:val="24"/>
          <w:szCs w:val="24"/>
        </w:rPr>
        <w:t xml:space="preserve"> + te sredstva za provođenje  projekta Energetske obnove zgrade Druge gimnazije Varaždin, primljena od strane Ministarstva regionalnog razvoja </w:t>
      </w:r>
      <w:r w:rsidR="00FD4691" w:rsidRPr="00C240BB">
        <w:rPr>
          <w:rFonts w:cs="Arial"/>
          <w:sz w:val="24"/>
          <w:szCs w:val="24"/>
        </w:rPr>
        <w:t xml:space="preserve">i fondova Europske unije </w:t>
      </w:r>
      <w:r w:rsidR="000B77EA" w:rsidRPr="00C240BB">
        <w:rPr>
          <w:rFonts w:cs="Arial"/>
          <w:sz w:val="24"/>
          <w:szCs w:val="24"/>
        </w:rPr>
        <w:t xml:space="preserve">kao predujam.  </w:t>
      </w:r>
    </w:p>
    <w:p w:rsidR="00047EA9" w:rsidRPr="00C240BB" w:rsidRDefault="00047EA9" w:rsidP="00047EA9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071</w:t>
      </w:r>
    </w:p>
    <w:p w:rsidR="00CB7451" w:rsidRPr="00C240BB" w:rsidRDefault="00047EA9" w:rsidP="00E421AC">
      <w:pPr>
        <w:ind w:left="360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Stanj</w:t>
      </w:r>
      <w:r w:rsidR="00CB7451" w:rsidRPr="00C240BB">
        <w:rPr>
          <w:rFonts w:cs="Arial"/>
          <w:sz w:val="24"/>
          <w:szCs w:val="24"/>
        </w:rPr>
        <w:t>e novčanih sredstava</w:t>
      </w:r>
      <w:r w:rsidR="00555DBE" w:rsidRPr="00C240BB">
        <w:rPr>
          <w:rFonts w:cs="Arial"/>
          <w:sz w:val="24"/>
          <w:szCs w:val="24"/>
        </w:rPr>
        <w:t xml:space="preserve"> u blagajni na dan 31.12.201</w:t>
      </w:r>
      <w:r w:rsidR="00A0097A" w:rsidRPr="00C240BB">
        <w:rPr>
          <w:rFonts w:cs="Arial"/>
          <w:sz w:val="24"/>
          <w:szCs w:val="24"/>
        </w:rPr>
        <w:t>8</w:t>
      </w:r>
      <w:r w:rsidR="00555DBE" w:rsidRPr="00C240BB">
        <w:rPr>
          <w:rFonts w:cs="Arial"/>
          <w:sz w:val="24"/>
          <w:szCs w:val="24"/>
        </w:rPr>
        <w:t>.</w:t>
      </w:r>
      <w:r w:rsidR="00CB7451" w:rsidRPr="00C240BB">
        <w:rPr>
          <w:rFonts w:cs="Arial"/>
          <w:sz w:val="24"/>
          <w:szCs w:val="24"/>
        </w:rPr>
        <w:t xml:space="preserve"> iznosi </w:t>
      </w:r>
      <w:r w:rsidR="00A0097A" w:rsidRPr="00C240BB">
        <w:rPr>
          <w:rFonts w:cs="Arial"/>
          <w:sz w:val="24"/>
          <w:szCs w:val="24"/>
        </w:rPr>
        <w:t>235</w:t>
      </w:r>
      <w:r w:rsidR="00CB7451" w:rsidRPr="00C240BB">
        <w:rPr>
          <w:rFonts w:cs="Arial"/>
          <w:sz w:val="24"/>
          <w:szCs w:val="24"/>
        </w:rPr>
        <w:t xml:space="preserve"> kn za materijalne potrebe.</w:t>
      </w:r>
    </w:p>
    <w:p w:rsidR="00A0097A" w:rsidRDefault="00A0097A" w:rsidP="00E421AC">
      <w:pPr>
        <w:ind w:left="360"/>
        <w:rPr>
          <w:rFonts w:cs="Arial"/>
          <w:sz w:val="24"/>
          <w:szCs w:val="24"/>
        </w:rPr>
      </w:pPr>
    </w:p>
    <w:p w:rsidR="0082193D" w:rsidRDefault="0082193D" w:rsidP="00E421AC">
      <w:pPr>
        <w:ind w:left="360"/>
        <w:rPr>
          <w:rFonts w:cs="Arial"/>
          <w:sz w:val="24"/>
          <w:szCs w:val="24"/>
        </w:rPr>
      </w:pPr>
    </w:p>
    <w:p w:rsidR="0082193D" w:rsidRPr="00C240BB" w:rsidRDefault="0082193D" w:rsidP="00E421AC">
      <w:pPr>
        <w:ind w:left="360"/>
        <w:rPr>
          <w:rFonts w:cs="Arial"/>
          <w:sz w:val="24"/>
          <w:szCs w:val="24"/>
        </w:rPr>
      </w:pPr>
    </w:p>
    <w:p w:rsidR="00CB7451" w:rsidRPr="00C240BB" w:rsidRDefault="00555DBE" w:rsidP="00CB7451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 </w:t>
      </w:r>
      <w:r w:rsidR="00CB7451" w:rsidRPr="00C240BB">
        <w:rPr>
          <w:rFonts w:cs="Arial"/>
          <w:b/>
          <w:sz w:val="24"/>
          <w:szCs w:val="24"/>
        </w:rPr>
        <w:t>AOP 079</w:t>
      </w:r>
    </w:p>
    <w:p w:rsidR="00047EA9" w:rsidRPr="00C240BB" w:rsidRDefault="00CB7451" w:rsidP="00A0097A">
      <w:pPr>
        <w:ind w:left="360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Potraživanja za više plaćene poreze i doprinose prilikom izvršenog godišnjeg obračuna poreza na dohodak zaposlenicima sa isplatom plaće za studeni 201</w:t>
      </w:r>
      <w:r w:rsidR="00A0097A" w:rsidRPr="00C240BB">
        <w:rPr>
          <w:rFonts w:cs="Arial"/>
          <w:sz w:val="24"/>
          <w:szCs w:val="24"/>
        </w:rPr>
        <w:t>8</w:t>
      </w:r>
      <w:r w:rsidRPr="00C240BB">
        <w:rPr>
          <w:rFonts w:cs="Arial"/>
          <w:sz w:val="24"/>
          <w:szCs w:val="24"/>
        </w:rPr>
        <w:t>.g.</w:t>
      </w:r>
    </w:p>
    <w:p w:rsidR="00047EA9" w:rsidRPr="00C240BB" w:rsidRDefault="00047EA9" w:rsidP="00047EA9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080</w:t>
      </w:r>
    </w:p>
    <w:p w:rsidR="00047EA9" w:rsidRPr="00C240BB" w:rsidRDefault="00047EA9" w:rsidP="00A0097A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Ostala potraživanja</w:t>
      </w:r>
      <w:r w:rsidR="00F053B6" w:rsidRPr="00C240BB">
        <w:rPr>
          <w:rFonts w:cs="Arial"/>
          <w:sz w:val="24"/>
          <w:szCs w:val="24"/>
        </w:rPr>
        <w:t xml:space="preserve"> uključuju potraživanja od TTF-a za grijanje te potraživanja za naknade koje se refundiraju</w:t>
      </w:r>
      <w:r w:rsidR="00CB7451" w:rsidRPr="00C240BB">
        <w:rPr>
          <w:rFonts w:cs="Arial"/>
          <w:sz w:val="24"/>
          <w:szCs w:val="24"/>
        </w:rPr>
        <w:t>, tj.</w:t>
      </w:r>
      <w:r w:rsidR="00F053B6" w:rsidRPr="00C240BB">
        <w:rPr>
          <w:rFonts w:cs="Arial"/>
          <w:sz w:val="24"/>
          <w:szCs w:val="24"/>
        </w:rPr>
        <w:t xml:space="preserve"> potraživanja od HZZO-a za naknadu bolovanja zaposlenih.</w:t>
      </w:r>
    </w:p>
    <w:p w:rsidR="00F053B6" w:rsidRPr="00C240BB" w:rsidRDefault="00F053B6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140</w:t>
      </w:r>
    </w:p>
    <w:p w:rsidR="00CB7451" w:rsidRDefault="00F053B6" w:rsidP="00A0097A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Potraživanja za prihode od zakupa prostora uključuju </w:t>
      </w:r>
      <w:r w:rsidR="00CB7451" w:rsidRPr="00C240BB">
        <w:rPr>
          <w:rFonts w:cs="Arial"/>
          <w:sz w:val="24"/>
          <w:szCs w:val="24"/>
        </w:rPr>
        <w:t xml:space="preserve">potraživanja za najam dvorane  temeljem izdanih izlaznih računa. </w:t>
      </w:r>
    </w:p>
    <w:p w:rsidR="00293D3B" w:rsidRPr="00293D3B" w:rsidRDefault="00293D3B" w:rsidP="00293D3B">
      <w:pPr>
        <w:pStyle w:val="Odlomakpopisa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 w:rsidRPr="00293D3B">
        <w:rPr>
          <w:rFonts w:cs="Arial"/>
          <w:b/>
          <w:sz w:val="24"/>
          <w:szCs w:val="24"/>
        </w:rPr>
        <w:t>AOP 156</w:t>
      </w:r>
    </w:p>
    <w:p w:rsidR="00293D3B" w:rsidRPr="00293D3B" w:rsidRDefault="00293D3B" w:rsidP="00293D3B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Izvršen je ispravak vrijednosti potraživanja za zakup prostora. </w:t>
      </w:r>
    </w:p>
    <w:p w:rsidR="00CB7451" w:rsidRPr="00C240BB" w:rsidRDefault="00CB7451" w:rsidP="00CB7451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 </w:t>
      </w:r>
      <w:r w:rsidR="002A2505" w:rsidRPr="00C240BB">
        <w:rPr>
          <w:rFonts w:cs="Arial"/>
          <w:b/>
          <w:sz w:val="24"/>
          <w:szCs w:val="24"/>
        </w:rPr>
        <w:t>AOP 157</w:t>
      </w:r>
    </w:p>
    <w:p w:rsidR="00F053B6" w:rsidRPr="00C240BB" w:rsidRDefault="00F053B6" w:rsidP="00A0097A">
      <w:pPr>
        <w:ind w:left="426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Potraživanje za prodane stanove zaposlenicima iznosi </w:t>
      </w:r>
      <w:r w:rsidR="00A0097A" w:rsidRPr="00C240BB">
        <w:rPr>
          <w:rFonts w:cs="Arial"/>
          <w:sz w:val="24"/>
          <w:szCs w:val="24"/>
        </w:rPr>
        <w:t xml:space="preserve"> 48.790</w:t>
      </w:r>
      <w:r w:rsidR="00CB7451" w:rsidRPr="00C240BB">
        <w:rPr>
          <w:rFonts w:cs="Arial"/>
          <w:sz w:val="24"/>
          <w:szCs w:val="24"/>
        </w:rPr>
        <w:t xml:space="preserve"> </w:t>
      </w:r>
      <w:r w:rsidRPr="00C240BB">
        <w:rPr>
          <w:rFonts w:cs="Arial"/>
          <w:sz w:val="24"/>
          <w:szCs w:val="24"/>
        </w:rPr>
        <w:t>kn.</w:t>
      </w:r>
      <w:r w:rsidR="00A0097A" w:rsidRPr="00C240BB">
        <w:rPr>
          <w:rFonts w:cs="Arial"/>
          <w:sz w:val="24"/>
          <w:szCs w:val="24"/>
        </w:rPr>
        <w:t xml:space="preserve"> Iskazano  je           potraživanje  iz analitičke evidencije kupaca stanova čije su vrijednosti izražene u valuti EUR, po srednjem tečaju HNB na dan 31.12.2018.g.</w:t>
      </w:r>
    </w:p>
    <w:p w:rsidR="00F053B6" w:rsidRPr="00C240BB" w:rsidRDefault="00873A45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161</w:t>
      </w:r>
    </w:p>
    <w:p w:rsidR="00F053B6" w:rsidRPr="00C240BB" w:rsidRDefault="00F053B6" w:rsidP="002A2505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Kontinuirani rashodi budućih razdoblja iznose</w:t>
      </w:r>
      <w:r w:rsidR="002A2505" w:rsidRPr="00C240BB">
        <w:rPr>
          <w:rFonts w:cs="Arial"/>
          <w:sz w:val="24"/>
          <w:szCs w:val="24"/>
        </w:rPr>
        <w:t xml:space="preserve"> 597.312 kn</w:t>
      </w:r>
      <w:r w:rsidR="00305167" w:rsidRPr="00C240BB">
        <w:rPr>
          <w:rFonts w:cs="Arial"/>
          <w:sz w:val="24"/>
          <w:szCs w:val="24"/>
        </w:rPr>
        <w:t>, a uključuju rashode za plaću za prosinac.</w:t>
      </w:r>
    </w:p>
    <w:p w:rsidR="00305167" w:rsidRPr="00C240BB" w:rsidRDefault="00873A45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16</w:t>
      </w:r>
      <w:r w:rsidR="002C7449" w:rsidRPr="00C240BB">
        <w:rPr>
          <w:rFonts w:cs="Arial"/>
          <w:b/>
          <w:sz w:val="24"/>
          <w:szCs w:val="24"/>
        </w:rPr>
        <w:t>6</w:t>
      </w:r>
    </w:p>
    <w:p w:rsidR="00305167" w:rsidRDefault="00305167" w:rsidP="002C7449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Obveze za materijalne rashode iznose </w:t>
      </w:r>
      <w:r w:rsidR="002C7449" w:rsidRPr="00C240BB">
        <w:rPr>
          <w:rFonts w:cs="Arial"/>
          <w:sz w:val="24"/>
          <w:szCs w:val="24"/>
        </w:rPr>
        <w:t>1.585.885</w:t>
      </w:r>
      <w:r w:rsidR="00555DBE" w:rsidRPr="00C240BB">
        <w:rPr>
          <w:rFonts w:cs="Arial"/>
          <w:sz w:val="24"/>
          <w:szCs w:val="24"/>
        </w:rPr>
        <w:t xml:space="preserve"> </w:t>
      </w:r>
      <w:r w:rsidRPr="00C240BB">
        <w:rPr>
          <w:rFonts w:cs="Arial"/>
          <w:sz w:val="24"/>
          <w:szCs w:val="24"/>
        </w:rPr>
        <w:t xml:space="preserve"> </w:t>
      </w:r>
      <w:r w:rsidR="00555DBE" w:rsidRPr="00C240BB">
        <w:rPr>
          <w:rFonts w:cs="Arial"/>
          <w:sz w:val="24"/>
          <w:szCs w:val="24"/>
        </w:rPr>
        <w:t>i</w:t>
      </w:r>
      <w:r w:rsidR="002C7449" w:rsidRPr="00C240BB">
        <w:rPr>
          <w:rFonts w:cs="Arial"/>
          <w:sz w:val="24"/>
          <w:szCs w:val="24"/>
        </w:rPr>
        <w:t xml:space="preserve"> ukazuju značajno povećanje</w:t>
      </w:r>
      <w:r w:rsidR="00555DBE" w:rsidRPr="00C240BB">
        <w:rPr>
          <w:rFonts w:cs="Arial"/>
          <w:sz w:val="24"/>
          <w:szCs w:val="24"/>
        </w:rPr>
        <w:t xml:space="preserve"> u</w:t>
      </w:r>
      <w:r w:rsidR="002C7449" w:rsidRPr="00C240BB">
        <w:rPr>
          <w:rFonts w:cs="Arial"/>
          <w:sz w:val="24"/>
          <w:szCs w:val="24"/>
        </w:rPr>
        <w:t xml:space="preserve"> odnosu na prošlu godinu iz razloga što je u prosincu primljena privremena obračunska situacija za izvođenje radova na Energetskoj obnovi zgrade Druge gimnazije Varaždin, a koja će biti podmirena u 2019.g. Ostale obveze uključuju naknadu za prijevoz za prosinac 2018.g.koja dospijeva u siječnju 2019.g.te ostale obveze po računima koji će biti plaćeni u 2019.g.</w:t>
      </w:r>
    </w:p>
    <w:p w:rsidR="0082193D" w:rsidRDefault="0082193D" w:rsidP="002C7449">
      <w:pPr>
        <w:ind w:left="360"/>
        <w:jc w:val="both"/>
        <w:rPr>
          <w:rFonts w:cs="Arial"/>
          <w:sz w:val="24"/>
          <w:szCs w:val="24"/>
        </w:rPr>
      </w:pPr>
    </w:p>
    <w:p w:rsidR="0082193D" w:rsidRDefault="0082193D" w:rsidP="002C7449">
      <w:pPr>
        <w:ind w:left="360"/>
        <w:jc w:val="both"/>
        <w:rPr>
          <w:rFonts w:cs="Arial"/>
          <w:sz w:val="24"/>
          <w:szCs w:val="24"/>
        </w:rPr>
      </w:pPr>
    </w:p>
    <w:p w:rsidR="0082193D" w:rsidRPr="00C240BB" w:rsidRDefault="0082193D" w:rsidP="002C7449">
      <w:pPr>
        <w:ind w:left="360"/>
        <w:jc w:val="both"/>
        <w:rPr>
          <w:rFonts w:cs="Arial"/>
          <w:sz w:val="24"/>
          <w:szCs w:val="24"/>
        </w:rPr>
      </w:pPr>
    </w:p>
    <w:p w:rsidR="00305167" w:rsidRPr="00C240BB" w:rsidRDefault="00305167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170</w:t>
      </w:r>
    </w:p>
    <w:p w:rsidR="00305167" w:rsidRPr="00C240BB" w:rsidRDefault="00305167" w:rsidP="002C7449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Obveze za financijske rashod</w:t>
      </w:r>
      <w:r w:rsidR="00B91427" w:rsidRPr="00C240BB">
        <w:rPr>
          <w:rFonts w:cs="Arial"/>
          <w:sz w:val="24"/>
          <w:szCs w:val="24"/>
        </w:rPr>
        <w:t xml:space="preserve">e </w:t>
      </w:r>
      <w:r w:rsidR="00555DBE" w:rsidRPr="00C240BB">
        <w:rPr>
          <w:rFonts w:cs="Arial"/>
          <w:sz w:val="24"/>
          <w:szCs w:val="24"/>
        </w:rPr>
        <w:t xml:space="preserve">uključuju naknadu za vođenje računa i izvršavanje transakcija za 12 mj. </w:t>
      </w:r>
      <w:r w:rsidR="002C7449" w:rsidRPr="00C240BB">
        <w:rPr>
          <w:rFonts w:cs="Arial"/>
          <w:sz w:val="24"/>
          <w:szCs w:val="24"/>
        </w:rPr>
        <w:t xml:space="preserve">te obvezu za zatezne kamate. </w:t>
      </w:r>
    </w:p>
    <w:p w:rsidR="008D7A10" w:rsidRPr="00C240BB" w:rsidRDefault="002C7449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174</w:t>
      </w:r>
    </w:p>
    <w:p w:rsidR="008D7A10" w:rsidRPr="00C240BB" w:rsidRDefault="008D7A10" w:rsidP="004A77C8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Ostale tekuće obveze uključuju</w:t>
      </w:r>
      <w:r w:rsidR="004A77C8" w:rsidRPr="00C240BB">
        <w:rPr>
          <w:rFonts w:cs="Arial"/>
          <w:sz w:val="24"/>
          <w:szCs w:val="24"/>
        </w:rPr>
        <w:t xml:space="preserve"> </w:t>
      </w:r>
      <w:r w:rsidR="002C7449" w:rsidRPr="00C240BB">
        <w:rPr>
          <w:rFonts w:cs="Arial"/>
          <w:sz w:val="24"/>
          <w:szCs w:val="24"/>
        </w:rPr>
        <w:t>obvezu za</w:t>
      </w:r>
      <w:r w:rsidRPr="00C240BB">
        <w:rPr>
          <w:rFonts w:cs="Arial"/>
          <w:sz w:val="24"/>
          <w:szCs w:val="24"/>
        </w:rPr>
        <w:t xml:space="preserve"> bolovanje na teret HZZO koje nije </w:t>
      </w:r>
      <w:r w:rsidR="00BD2D58" w:rsidRPr="00C240BB">
        <w:rPr>
          <w:rFonts w:cs="Arial"/>
          <w:sz w:val="24"/>
          <w:szCs w:val="24"/>
        </w:rPr>
        <w:t>refundirano te</w:t>
      </w:r>
      <w:r w:rsidRPr="00C240BB">
        <w:rPr>
          <w:rFonts w:cs="Arial"/>
          <w:sz w:val="24"/>
          <w:szCs w:val="24"/>
        </w:rPr>
        <w:t xml:space="preserve"> obvezu uplate u Državni proračun 65% iznosa od prodaje stanova. </w:t>
      </w:r>
    </w:p>
    <w:p w:rsidR="0009266B" w:rsidRPr="00C240BB" w:rsidRDefault="0009266B" w:rsidP="004A77C8">
      <w:pPr>
        <w:ind w:left="360"/>
        <w:jc w:val="both"/>
        <w:rPr>
          <w:rFonts w:cs="Arial"/>
          <w:sz w:val="24"/>
          <w:szCs w:val="24"/>
        </w:rPr>
      </w:pPr>
    </w:p>
    <w:p w:rsidR="008D7A10" w:rsidRPr="00C240BB" w:rsidRDefault="008D7A10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22</w:t>
      </w:r>
      <w:r w:rsidR="0009266B" w:rsidRPr="00C240BB">
        <w:rPr>
          <w:rFonts w:cs="Arial"/>
          <w:b/>
          <w:sz w:val="24"/>
          <w:szCs w:val="24"/>
        </w:rPr>
        <w:t>1</w:t>
      </w:r>
    </w:p>
    <w:p w:rsidR="008D7A10" w:rsidRPr="00C240BB" w:rsidRDefault="008D7A10" w:rsidP="00E421AC">
      <w:pPr>
        <w:ind w:left="360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Odgođeno plaćanje rashoda uključuje pomoć učenicima. </w:t>
      </w:r>
    </w:p>
    <w:p w:rsidR="008D7A10" w:rsidRPr="00C240BB" w:rsidRDefault="008D7A10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22</w:t>
      </w:r>
      <w:r w:rsidR="0009266B" w:rsidRPr="00C240BB">
        <w:rPr>
          <w:rFonts w:cs="Arial"/>
          <w:b/>
          <w:sz w:val="24"/>
          <w:szCs w:val="24"/>
        </w:rPr>
        <w:t>2</w:t>
      </w:r>
    </w:p>
    <w:p w:rsidR="00047EA9" w:rsidRPr="00C240BB" w:rsidRDefault="008D7A10" w:rsidP="00E421AC">
      <w:pPr>
        <w:ind w:left="360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Naplaćeni prihodi budućih razdoblja uključuju prihode za </w:t>
      </w:r>
      <w:r w:rsidR="004A77C8" w:rsidRPr="00C240BB">
        <w:rPr>
          <w:rFonts w:cs="Arial"/>
          <w:sz w:val="24"/>
          <w:szCs w:val="24"/>
        </w:rPr>
        <w:t>ž</w:t>
      </w:r>
      <w:r w:rsidR="00BB3E7E" w:rsidRPr="00C240BB">
        <w:rPr>
          <w:rFonts w:cs="Arial"/>
          <w:sz w:val="24"/>
          <w:szCs w:val="24"/>
        </w:rPr>
        <w:t>upanijska stručna vijeća.</w:t>
      </w:r>
    </w:p>
    <w:p w:rsidR="008D7A10" w:rsidRPr="00C240BB" w:rsidRDefault="004C4D68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233</w:t>
      </w:r>
    </w:p>
    <w:p w:rsidR="004C4D68" w:rsidRPr="00C240BB" w:rsidRDefault="00555DBE" w:rsidP="00780546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Evidentiran je višak pr</w:t>
      </w:r>
      <w:r w:rsidR="00B91427" w:rsidRPr="00C240BB">
        <w:rPr>
          <w:rFonts w:cs="Arial"/>
          <w:sz w:val="24"/>
          <w:szCs w:val="24"/>
        </w:rPr>
        <w:t xml:space="preserve">ihoda poslovanja u iznosu </w:t>
      </w:r>
      <w:r w:rsidR="0009266B" w:rsidRPr="00C240BB">
        <w:rPr>
          <w:rFonts w:cs="Arial"/>
          <w:sz w:val="24"/>
          <w:szCs w:val="24"/>
        </w:rPr>
        <w:t>1.245.738</w:t>
      </w:r>
      <w:r w:rsidRPr="00C240BB">
        <w:rPr>
          <w:rFonts w:cs="Arial"/>
          <w:sz w:val="24"/>
          <w:szCs w:val="24"/>
        </w:rPr>
        <w:t xml:space="preserve"> kn.</w:t>
      </w:r>
      <w:r w:rsidR="0009266B" w:rsidRPr="00C240BB">
        <w:rPr>
          <w:rFonts w:cs="Arial"/>
          <w:sz w:val="24"/>
          <w:szCs w:val="24"/>
        </w:rPr>
        <w:t xml:space="preserve"> Iznos viška prihoda razlikuje se od iznosa u PR-RAS-u zbog izvršene obvezne korekcije za kapitalne </w:t>
      </w:r>
      <w:r w:rsidR="00780546" w:rsidRPr="00C240BB">
        <w:rPr>
          <w:rFonts w:cs="Arial"/>
          <w:sz w:val="24"/>
          <w:szCs w:val="24"/>
        </w:rPr>
        <w:t xml:space="preserve">prijenose temeljem članka 82. Pravilnika o proračunskom računovodstvu i računskom planu proračuna. </w:t>
      </w:r>
    </w:p>
    <w:p w:rsidR="00F657A0" w:rsidRPr="00C240BB" w:rsidRDefault="00F657A0" w:rsidP="00F657A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</w:t>
      </w:r>
      <w:r w:rsidR="004A77C8" w:rsidRPr="00C240BB">
        <w:rPr>
          <w:rFonts w:cs="Arial"/>
          <w:b/>
          <w:sz w:val="24"/>
          <w:szCs w:val="24"/>
        </w:rPr>
        <w:t>236</w:t>
      </w:r>
    </w:p>
    <w:p w:rsidR="00F657A0" w:rsidRPr="00C240BB" w:rsidRDefault="00F657A0" w:rsidP="00F657A0">
      <w:pPr>
        <w:ind w:left="360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Evidentiran je manjak prihoda od nefinancijske imovine u iznosu </w:t>
      </w:r>
      <w:r w:rsidR="0009266B" w:rsidRPr="00C240BB">
        <w:rPr>
          <w:rFonts w:cs="Arial"/>
          <w:sz w:val="24"/>
          <w:szCs w:val="24"/>
        </w:rPr>
        <w:t>5.848</w:t>
      </w:r>
      <w:r w:rsidRPr="00C240BB">
        <w:rPr>
          <w:rFonts w:cs="Arial"/>
          <w:sz w:val="24"/>
          <w:szCs w:val="24"/>
        </w:rPr>
        <w:t xml:space="preserve"> kn.</w:t>
      </w:r>
    </w:p>
    <w:p w:rsidR="0092536B" w:rsidRPr="00C240BB" w:rsidRDefault="0092536B" w:rsidP="0092536B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244</w:t>
      </w:r>
    </w:p>
    <w:p w:rsidR="0092536B" w:rsidRDefault="0092536B" w:rsidP="0092536B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U </w:t>
      </w:r>
      <w:proofErr w:type="spellStart"/>
      <w:r w:rsidRPr="00C240BB">
        <w:rPr>
          <w:rFonts w:cs="Arial"/>
          <w:sz w:val="24"/>
          <w:szCs w:val="24"/>
        </w:rPr>
        <w:t>izvanbilančnim</w:t>
      </w:r>
      <w:proofErr w:type="spellEnd"/>
      <w:r w:rsidRPr="00C240BB">
        <w:rPr>
          <w:rFonts w:cs="Arial"/>
          <w:sz w:val="24"/>
          <w:szCs w:val="24"/>
        </w:rPr>
        <w:t xml:space="preserve"> zapisima evidentirana je bjanko zadužnica u iznosu od 2.150.000,00 kn upisana u registar zadužnica i dana Ministarstvu regionalnog razvoja i fondova Europske unije za potrebe dobivanja sredstava sufinanciranja Energetske obnove zgrade Druge gimnazije Varaždin. </w:t>
      </w:r>
    </w:p>
    <w:p w:rsidR="0082193D" w:rsidRDefault="0082193D" w:rsidP="0092536B">
      <w:pPr>
        <w:ind w:left="360"/>
        <w:jc w:val="both"/>
        <w:rPr>
          <w:rFonts w:cs="Arial"/>
          <w:sz w:val="24"/>
          <w:szCs w:val="24"/>
        </w:rPr>
      </w:pPr>
    </w:p>
    <w:p w:rsidR="0082193D" w:rsidRDefault="0082193D" w:rsidP="0092536B">
      <w:pPr>
        <w:ind w:left="360"/>
        <w:jc w:val="both"/>
        <w:rPr>
          <w:rFonts w:cs="Arial"/>
          <w:sz w:val="24"/>
          <w:szCs w:val="24"/>
        </w:rPr>
      </w:pPr>
    </w:p>
    <w:p w:rsidR="0082193D" w:rsidRDefault="0082193D" w:rsidP="0092536B">
      <w:pPr>
        <w:ind w:left="360"/>
        <w:jc w:val="both"/>
        <w:rPr>
          <w:rFonts w:cs="Arial"/>
          <w:sz w:val="24"/>
          <w:szCs w:val="24"/>
        </w:rPr>
      </w:pPr>
    </w:p>
    <w:p w:rsidR="0082193D" w:rsidRDefault="0082193D" w:rsidP="0092536B">
      <w:pPr>
        <w:ind w:left="360"/>
        <w:jc w:val="both"/>
        <w:rPr>
          <w:rFonts w:cs="Arial"/>
          <w:sz w:val="24"/>
          <w:szCs w:val="24"/>
        </w:rPr>
      </w:pPr>
    </w:p>
    <w:p w:rsidR="002050DE" w:rsidRPr="00C240BB" w:rsidRDefault="002050DE" w:rsidP="0092536B">
      <w:pPr>
        <w:ind w:left="360"/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OBVEZNA BILJEŠKA UZ BILANCU:</w:t>
      </w:r>
    </w:p>
    <w:p w:rsidR="00C240BB" w:rsidRPr="00C240BB" w:rsidRDefault="00250225" w:rsidP="0092536B">
      <w:pPr>
        <w:ind w:left="3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Popis ugovornih odnosa i slično koji uz ispunjenje ugovornih odnosa mogu postati obveza ili imovina: </w:t>
      </w:r>
    </w:p>
    <w:tbl>
      <w:tblPr>
        <w:tblStyle w:val="Reetkatablice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134"/>
        <w:gridCol w:w="1134"/>
        <w:gridCol w:w="1134"/>
        <w:gridCol w:w="1418"/>
        <w:gridCol w:w="850"/>
        <w:gridCol w:w="1276"/>
        <w:gridCol w:w="850"/>
        <w:gridCol w:w="709"/>
      </w:tblGrid>
      <w:tr w:rsidR="0080284B" w:rsidTr="0080284B">
        <w:trPr>
          <w:trHeight w:val="996"/>
        </w:trPr>
        <w:tc>
          <w:tcPr>
            <w:tcW w:w="457" w:type="dxa"/>
          </w:tcPr>
          <w:p w:rsidR="00250225" w:rsidRDefault="0080284B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R.</w:t>
            </w:r>
          </w:p>
          <w:p w:rsidR="0080284B" w:rsidRPr="0080284B" w:rsidRDefault="0080284B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</w:tcPr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Datum izdavanja/primanja jamstva</w:t>
            </w:r>
          </w:p>
        </w:tc>
        <w:tc>
          <w:tcPr>
            <w:tcW w:w="1134" w:type="dxa"/>
          </w:tcPr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Iznos danog /primljenog jamstva</w:t>
            </w:r>
          </w:p>
        </w:tc>
        <w:tc>
          <w:tcPr>
            <w:tcW w:w="1418" w:type="dxa"/>
          </w:tcPr>
          <w:p w:rsid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Primatelj/</w:t>
            </w:r>
          </w:p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davatelj jamstva</w:t>
            </w:r>
          </w:p>
        </w:tc>
        <w:tc>
          <w:tcPr>
            <w:tcW w:w="850" w:type="dxa"/>
          </w:tcPr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Namjena</w:t>
            </w:r>
          </w:p>
        </w:tc>
        <w:tc>
          <w:tcPr>
            <w:tcW w:w="1276" w:type="dxa"/>
          </w:tcPr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Dokument</w:t>
            </w:r>
          </w:p>
        </w:tc>
        <w:tc>
          <w:tcPr>
            <w:tcW w:w="850" w:type="dxa"/>
          </w:tcPr>
          <w:p w:rsidR="00250225" w:rsidRPr="0080284B" w:rsidRDefault="00250225" w:rsidP="0080284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 xml:space="preserve">Rok </w:t>
            </w:r>
            <w:r w:rsidR="0080284B">
              <w:rPr>
                <w:rFonts w:cs="Arial"/>
                <w:b/>
                <w:sz w:val="16"/>
                <w:szCs w:val="16"/>
              </w:rPr>
              <w:t>v</w:t>
            </w:r>
            <w:r w:rsidRPr="0080284B">
              <w:rPr>
                <w:rFonts w:cs="Arial"/>
                <w:b/>
                <w:sz w:val="16"/>
                <w:szCs w:val="16"/>
              </w:rPr>
              <w:t>aženj</w:t>
            </w:r>
            <w:r w:rsidR="0080284B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250225" w:rsidRPr="0080284B" w:rsidRDefault="00250225" w:rsidP="0025022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0284B">
              <w:rPr>
                <w:rFonts w:cs="Arial"/>
                <w:b/>
                <w:sz w:val="16"/>
                <w:szCs w:val="16"/>
              </w:rPr>
              <w:t>Napomena</w:t>
            </w:r>
          </w:p>
        </w:tc>
      </w:tr>
      <w:tr w:rsidR="0080284B" w:rsidRPr="004B35D3" w:rsidTr="0080284B">
        <w:tc>
          <w:tcPr>
            <w:tcW w:w="457" w:type="dxa"/>
          </w:tcPr>
          <w:p w:rsidR="00250225" w:rsidRPr="004B35D3" w:rsidRDefault="004B35D3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4B35D3" w:rsidRDefault="004B35D3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15.10.</w:t>
            </w:r>
          </w:p>
          <w:p w:rsidR="00250225" w:rsidRPr="004B35D3" w:rsidRDefault="004B35D3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2018.</w:t>
            </w:r>
          </w:p>
        </w:tc>
        <w:tc>
          <w:tcPr>
            <w:tcW w:w="1134" w:type="dxa"/>
          </w:tcPr>
          <w:p w:rsidR="00250225" w:rsidRPr="004B35D3" w:rsidRDefault="004B35D3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Zadužnica</w:t>
            </w:r>
          </w:p>
        </w:tc>
        <w:tc>
          <w:tcPr>
            <w:tcW w:w="1134" w:type="dxa"/>
          </w:tcPr>
          <w:p w:rsidR="00250225" w:rsidRPr="004B35D3" w:rsidRDefault="004B35D3" w:rsidP="0092536B">
            <w:pPr>
              <w:jc w:val="both"/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2.150.000,00 kn</w:t>
            </w:r>
          </w:p>
        </w:tc>
        <w:tc>
          <w:tcPr>
            <w:tcW w:w="1418" w:type="dxa"/>
          </w:tcPr>
          <w:p w:rsidR="00250225" w:rsidRPr="004B35D3" w:rsidRDefault="004B35D3" w:rsidP="004B35D3">
            <w:pPr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RH, Ministarstvo regionalnog razvoja i fondova Europske unije</w:t>
            </w:r>
          </w:p>
        </w:tc>
        <w:tc>
          <w:tcPr>
            <w:tcW w:w="850" w:type="dxa"/>
          </w:tcPr>
          <w:p w:rsidR="00250225" w:rsidRPr="004B35D3" w:rsidRDefault="004B35D3" w:rsidP="004B35D3">
            <w:pPr>
              <w:jc w:val="both"/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>Jamstvo za uredno izvršenje ugovornih obveza</w:t>
            </w:r>
          </w:p>
        </w:tc>
        <w:tc>
          <w:tcPr>
            <w:tcW w:w="1276" w:type="dxa"/>
          </w:tcPr>
          <w:p w:rsidR="004B35D3" w:rsidRPr="004B35D3" w:rsidRDefault="004B35D3" w:rsidP="0080284B">
            <w:pPr>
              <w:rPr>
                <w:rFonts w:cs="Arial"/>
                <w:sz w:val="16"/>
                <w:szCs w:val="16"/>
              </w:rPr>
            </w:pPr>
            <w:r w:rsidRPr="004B35D3">
              <w:rPr>
                <w:rFonts w:cs="Arial"/>
                <w:sz w:val="16"/>
                <w:szCs w:val="16"/>
              </w:rPr>
              <w:t xml:space="preserve">Odluka o odobravanju sredstava za sufinanciranje provedbe EU projekta, klasa:402-07/18-02/68, </w:t>
            </w:r>
            <w:proofErr w:type="spellStart"/>
            <w:r w:rsidRPr="004B35D3">
              <w:rPr>
                <w:rFonts w:cs="Arial"/>
                <w:sz w:val="16"/>
                <w:szCs w:val="16"/>
              </w:rPr>
              <w:t>urbroj</w:t>
            </w:r>
            <w:proofErr w:type="spellEnd"/>
            <w:r w:rsidRPr="004B35D3">
              <w:rPr>
                <w:rFonts w:cs="Arial"/>
                <w:sz w:val="16"/>
                <w:szCs w:val="16"/>
              </w:rPr>
              <w:t>:538-06-1-</w:t>
            </w:r>
            <w:proofErr w:type="spellStart"/>
            <w:r w:rsidRPr="004B35D3">
              <w:rPr>
                <w:rFonts w:cs="Arial"/>
                <w:sz w:val="16"/>
                <w:szCs w:val="16"/>
              </w:rPr>
              <w:t>1</w:t>
            </w:r>
            <w:proofErr w:type="spellEnd"/>
            <w:r w:rsidRPr="004B35D3">
              <w:rPr>
                <w:rFonts w:cs="Arial"/>
                <w:sz w:val="16"/>
                <w:szCs w:val="16"/>
              </w:rPr>
              <w:t>/218-18-2</w:t>
            </w:r>
          </w:p>
        </w:tc>
        <w:tc>
          <w:tcPr>
            <w:tcW w:w="850" w:type="dxa"/>
          </w:tcPr>
          <w:p w:rsidR="0080284B" w:rsidRDefault="004B35D3" w:rsidP="0080284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31.1</w:t>
            </w:r>
            <w:r w:rsidR="0080284B">
              <w:rPr>
                <w:rFonts w:cs="Arial"/>
                <w:sz w:val="16"/>
                <w:szCs w:val="16"/>
              </w:rPr>
              <w:t>2.</w:t>
            </w:r>
          </w:p>
          <w:p w:rsidR="00250225" w:rsidRPr="004B35D3" w:rsidRDefault="0080284B" w:rsidP="0080284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2019.</w:t>
            </w:r>
          </w:p>
        </w:tc>
        <w:tc>
          <w:tcPr>
            <w:tcW w:w="709" w:type="dxa"/>
          </w:tcPr>
          <w:p w:rsidR="00250225" w:rsidRPr="004B35D3" w:rsidRDefault="004B35D3" w:rsidP="009253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Broj ugovora:6-F-BS-10291/2018-05</w:t>
            </w:r>
          </w:p>
        </w:tc>
      </w:tr>
    </w:tbl>
    <w:p w:rsidR="00C240BB" w:rsidRPr="00C240BB" w:rsidRDefault="00C240BB" w:rsidP="0080284B">
      <w:pPr>
        <w:jc w:val="both"/>
        <w:rPr>
          <w:rFonts w:cs="Arial"/>
          <w:b/>
          <w:sz w:val="24"/>
          <w:szCs w:val="24"/>
        </w:rPr>
      </w:pPr>
    </w:p>
    <w:p w:rsidR="0001235F" w:rsidRPr="00C240BB" w:rsidRDefault="002050DE" w:rsidP="0001235F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Druga gimnazija Varaždin dana je bjanko zadužnicu u iznosu od 2.150.000,00 kn Ministarstvu regionalnog razvoja i fondova Europske unije kao instrument osiguranja odnosno uvjet za dobivanje sredstava sufinanciranja Energetske obnove zgrade Druge gimnazije. Ista je upisana u registar zadužnica i evidentirana u </w:t>
      </w:r>
      <w:proofErr w:type="spellStart"/>
      <w:r w:rsidRPr="00C240BB">
        <w:rPr>
          <w:rFonts w:cs="Arial"/>
          <w:sz w:val="24"/>
          <w:szCs w:val="24"/>
        </w:rPr>
        <w:t>izvanbilančnim</w:t>
      </w:r>
      <w:proofErr w:type="spellEnd"/>
      <w:r w:rsidRPr="00C240BB">
        <w:rPr>
          <w:rFonts w:cs="Arial"/>
          <w:sz w:val="24"/>
          <w:szCs w:val="24"/>
        </w:rPr>
        <w:t xml:space="preserve"> zapisima. </w:t>
      </w:r>
    </w:p>
    <w:p w:rsidR="008E0B98" w:rsidRPr="00C240BB" w:rsidRDefault="008E0B98" w:rsidP="00E421AC">
      <w:pPr>
        <w:ind w:left="360"/>
        <w:rPr>
          <w:rFonts w:cs="Arial"/>
          <w:color w:val="FF0000"/>
          <w:sz w:val="24"/>
          <w:szCs w:val="24"/>
        </w:rPr>
      </w:pPr>
    </w:p>
    <w:p w:rsidR="004C4D68" w:rsidRPr="00C240BB" w:rsidRDefault="004C4D68" w:rsidP="004C4D68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BILJEŠKE UZ PR-RAS</w:t>
      </w:r>
    </w:p>
    <w:p w:rsidR="00F657A0" w:rsidRPr="00C240BB" w:rsidRDefault="00F657A0" w:rsidP="00F657A0">
      <w:pPr>
        <w:rPr>
          <w:rFonts w:cs="Arial"/>
          <w:b/>
          <w:sz w:val="24"/>
          <w:szCs w:val="24"/>
        </w:rPr>
      </w:pPr>
    </w:p>
    <w:p w:rsidR="004C4D68" w:rsidRPr="00C240BB" w:rsidRDefault="004C4D68" w:rsidP="004C4D68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001</w:t>
      </w:r>
    </w:p>
    <w:p w:rsidR="004C4D68" w:rsidRPr="00C240BB" w:rsidRDefault="005B3895" w:rsidP="00B22FD7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U</w:t>
      </w:r>
      <w:r w:rsidR="004C4D68" w:rsidRPr="00C240BB">
        <w:rPr>
          <w:rFonts w:cs="Arial"/>
          <w:sz w:val="24"/>
          <w:szCs w:val="24"/>
        </w:rPr>
        <w:t>kupni prihodi poslovanja</w:t>
      </w:r>
      <w:r w:rsidRPr="00C240BB">
        <w:rPr>
          <w:rFonts w:cs="Arial"/>
          <w:sz w:val="24"/>
          <w:szCs w:val="24"/>
        </w:rPr>
        <w:t xml:space="preserve"> u 201</w:t>
      </w:r>
      <w:r w:rsidR="00780546" w:rsidRPr="00C240BB">
        <w:rPr>
          <w:rFonts w:cs="Arial"/>
          <w:sz w:val="24"/>
          <w:szCs w:val="24"/>
        </w:rPr>
        <w:t>8</w:t>
      </w:r>
      <w:r w:rsidR="00F657A0" w:rsidRPr="00C240BB">
        <w:rPr>
          <w:rFonts w:cs="Arial"/>
          <w:sz w:val="24"/>
          <w:szCs w:val="24"/>
        </w:rPr>
        <w:t xml:space="preserve">. godini iznose </w:t>
      </w:r>
      <w:r w:rsidR="00780546" w:rsidRPr="00C240BB">
        <w:rPr>
          <w:rFonts w:cs="Arial"/>
          <w:sz w:val="24"/>
          <w:szCs w:val="24"/>
        </w:rPr>
        <w:t xml:space="preserve">11.433.620 </w:t>
      </w:r>
      <w:r w:rsidR="00F657A0" w:rsidRPr="00C240BB">
        <w:rPr>
          <w:rFonts w:cs="Arial"/>
          <w:sz w:val="24"/>
          <w:szCs w:val="24"/>
        </w:rPr>
        <w:t xml:space="preserve">kn i </w:t>
      </w:r>
      <w:r w:rsidRPr="00C240BB">
        <w:rPr>
          <w:rFonts w:cs="Arial"/>
          <w:sz w:val="24"/>
          <w:szCs w:val="24"/>
        </w:rPr>
        <w:t xml:space="preserve">iskazuju porast od </w:t>
      </w:r>
      <w:r w:rsidR="00780546" w:rsidRPr="00C240BB">
        <w:rPr>
          <w:rFonts w:cs="Arial"/>
          <w:sz w:val="24"/>
          <w:szCs w:val="24"/>
        </w:rPr>
        <w:t>23,8</w:t>
      </w:r>
      <w:r w:rsidRPr="00C240BB">
        <w:rPr>
          <w:rFonts w:cs="Arial"/>
          <w:sz w:val="24"/>
          <w:szCs w:val="24"/>
        </w:rPr>
        <w:t xml:space="preserve">% u </w:t>
      </w:r>
      <w:r w:rsidR="00F657A0" w:rsidRPr="00C240BB">
        <w:rPr>
          <w:rFonts w:cs="Arial"/>
          <w:sz w:val="24"/>
          <w:szCs w:val="24"/>
        </w:rPr>
        <w:t xml:space="preserve">odnosu na prethodnu godinu. </w:t>
      </w:r>
      <w:r w:rsidR="00780546" w:rsidRPr="00C240BB">
        <w:rPr>
          <w:rFonts w:cs="Arial"/>
          <w:sz w:val="24"/>
          <w:szCs w:val="24"/>
        </w:rPr>
        <w:t xml:space="preserve"> Prihodi iskazuju značajno povećanje iz razloga što su primljena sredstva Ministarstva regionalnog razvoja i fondova Europske unije za provođenje projekta Energetske obnove zgrade Druge gimnazije Varaždin, kao i sredstva Osnivača za istu svrhu. Primljena su i povećana sredstva od Ministarstva znanosti i obrazovanja za provođenje eksperimentalnog programa „Škola za život“.</w:t>
      </w:r>
    </w:p>
    <w:p w:rsidR="003E7609" w:rsidRPr="00C240BB" w:rsidRDefault="003E7609" w:rsidP="003E7609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55 </w:t>
      </w:r>
    </w:p>
    <w:p w:rsidR="003E7609" w:rsidRPr="00C240BB" w:rsidRDefault="003E7609" w:rsidP="003E7609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Tekuće pomoći proračunu  iz drugih proračuna uključuju namjenska sredstva primljena za provođenje projekata (</w:t>
      </w:r>
      <w:proofErr w:type="spellStart"/>
      <w:r w:rsidRPr="00C240BB">
        <w:rPr>
          <w:rFonts w:cs="Arial"/>
          <w:sz w:val="24"/>
          <w:szCs w:val="24"/>
        </w:rPr>
        <w:t>Gimnazijada</w:t>
      </w:r>
      <w:proofErr w:type="spellEnd"/>
      <w:r w:rsidRPr="00C240BB">
        <w:rPr>
          <w:rFonts w:cs="Arial"/>
          <w:sz w:val="24"/>
          <w:szCs w:val="24"/>
        </w:rPr>
        <w:t xml:space="preserve"> i ISF natjecanja). </w:t>
      </w:r>
    </w:p>
    <w:p w:rsidR="00F657A0" w:rsidRPr="00C240BB" w:rsidRDefault="005B3895" w:rsidP="00B22FD7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lastRenderedPageBreak/>
        <w:t>AOP 5</w:t>
      </w:r>
      <w:r w:rsidR="00274B56" w:rsidRPr="00C240BB">
        <w:rPr>
          <w:rFonts w:cs="Arial"/>
          <w:b/>
          <w:sz w:val="24"/>
          <w:szCs w:val="24"/>
        </w:rPr>
        <w:t>8</w:t>
      </w:r>
    </w:p>
    <w:p w:rsidR="00F657A0" w:rsidRPr="00C240BB" w:rsidRDefault="005B3895" w:rsidP="00B22FD7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Prihodi dobiveni od HZZ-a na ime plaćanja doprinosa osobama koje se nalaze</w:t>
      </w:r>
      <w:r w:rsidR="00CD3CFF" w:rsidRPr="00C240BB">
        <w:rPr>
          <w:rFonts w:cs="Arial"/>
          <w:sz w:val="24"/>
          <w:szCs w:val="24"/>
        </w:rPr>
        <w:t xml:space="preserve"> doprinosa osobama koje se nalaze na stručnom osposobljavanju. </w:t>
      </w:r>
      <w:r w:rsidR="00F657A0" w:rsidRPr="00C240BB">
        <w:rPr>
          <w:rFonts w:cs="Arial"/>
          <w:sz w:val="24"/>
          <w:szCs w:val="24"/>
        </w:rPr>
        <w:t xml:space="preserve"> </w:t>
      </w:r>
    </w:p>
    <w:p w:rsidR="00147C42" w:rsidRPr="00C240BB" w:rsidRDefault="00B22FD7" w:rsidP="00B22FD7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064</w:t>
      </w:r>
    </w:p>
    <w:p w:rsidR="00147C42" w:rsidRPr="00C240BB" w:rsidRDefault="00B22FD7" w:rsidP="00B22FD7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Prihodi od strane Ministarstva znanosti i obrazovanja za financiranje plaća i naknada za zaposlene</w:t>
      </w:r>
      <w:r w:rsidR="001F2DCF" w:rsidRPr="00C240BB">
        <w:rPr>
          <w:rFonts w:cs="Arial"/>
          <w:sz w:val="24"/>
          <w:szCs w:val="24"/>
        </w:rPr>
        <w:t xml:space="preserve">, za projekte u obrazovanju te za provođenje eksperimentalnog programa „Škola za život“.  </w:t>
      </w:r>
    </w:p>
    <w:p w:rsidR="00147C42" w:rsidRPr="00C240BB" w:rsidRDefault="00147C42" w:rsidP="00B22FD7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06</w:t>
      </w:r>
      <w:r w:rsidR="00B22FD7" w:rsidRPr="00C240BB">
        <w:rPr>
          <w:rFonts w:cs="Arial"/>
          <w:b/>
          <w:sz w:val="24"/>
          <w:szCs w:val="24"/>
        </w:rPr>
        <w:t>7</w:t>
      </w:r>
    </w:p>
    <w:p w:rsidR="001F2DCF" w:rsidRPr="00C240BB" w:rsidRDefault="00A85F05" w:rsidP="004A77C8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Prihodi za projekt</w:t>
      </w:r>
      <w:r w:rsidR="00B22FD7" w:rsidRPr="00C240BB">
        <w:rPr>
          <w:rFonts w:cs="Arial"/>
          <w:sz w:val="24"/>
          <w:szCs w:val="24"/>
        </w:rPr>
        <w:t>e</w:t>
      </w:r>
      <w:r w:rsidRPr="00C240BB">
        <w:rPr>
          <w:rFonts w:cs="Arial"/>
          <w:sz w:val="24"/>
          <w:szCs w:val="24"/>
        </w:rPr>
        <w:t xml:space="preserve"> </w:t>
      </w:r>
      <w:proofErr w:type="spellStart"/>
      <w:r w:rsidRPr="00C240BB">
        <w:rPr>
          <w:rFonts w:cs="Arial"/>
          <w:sz w:val="24"/>
          <w:szCs w:val="24"/>
        </w:rPr>
        <w:t>Erasmus</w:t>
      </w:r>
      <w:proofErr w:type="spellEnd"/>
      <w:r w:rsidRPr="00C240BB">
        <w:rPr>
          <w:rFonts w:cs="Arial"/>
          <w:sz w:val="24"/>
          <w:szCs w:val="24"/>
        </w:rPr>
        <w:t>+</w:t>
      </w:r>
      <w:r w:rsidR="00CD3CFF" w:rsidRPr="00C240BB">
        <w:rPr>
          <w:rFonts w:cs="Arial"/>
          <w:sz w:val="24"/>
          <w:szCs w:val="24"/>
        </w:rPr>
        <w:t xml:space="preserve"> </w:t>
      </w:r>
      <w:proofErr w:type="spellStart"/>
      <w:r w:rsidR="001F2DCF" w:rsidRPr="00C240BB">
        <w:rPr>
          <w:rFonts w:cs="Arial"/>
          <w:sz w:val="24"/>
          <w:szCs w:val="24"/>
        </w:rPr>
        <w:t>Sports</w:t>
      </w:r>
      <w:proofErr w:type="spellEnd"/>
      <w:r w:rsidR="001F2DCF" w:rsidRPr="00C240BB">
        <w:rPr>
          <w:rFonts w:cs="Arial"/>
          <w:sz w:val="24"/>
          <w:szCs w:val="24"/>
        </w:rPr>
        <w:t xml:space="preserve"> formula </w:t>
      </w:r>
      <w:r w:rsidR="00B22FD7" w:rsidRPr="00C240BB">
        <w:rPr>
          <w:rFonts w:cs="Arial"/>
          <w:sz w:val="24"/>
          <w:szCs w:val="24"/>
        </w:rPr>
        <w:t>sukladno nastalim rashodima</w:t>
      </w:r>
      <w:r w:rsidR="001F2DCF" w:rsidRPr="00C240BB">
        <w:rPr>
          <w:rFonts w:cs="Arial"/>
          <w:sz w:val="24"/>
          <w:szCs w:val="24"/>
        </w:rPr>
        <w:t xml:space="preserve">, sredstva za projekt </w:t>
      </w:r>
      <w:proofErr w:type="spellStart"/>
      <w:r w:rsidR="001F2DCF" w:rsidRPr="00C240BB">
        <w:rPr>
          <w:rFonts w:cs="Arial"/>
          <w:sz w:val="24"/>
          <w:szCs w:val="24"/>
        </w:rPr>
        <w:t>Erasmus</w:t>
      </w:r>
      <w:proofErr w:type="spellEnd"/>
      <w:r w:rsidR="001F2DCF" w:rsidRPr="00C240BB">
        <w:rPr>
          <w:rFonts w:cs="Arial"/>
          <w:sz w:val="24"/>
          <w:szCs w:val="24"/>
        </w:rPr>
        <w:t xml:space="preserve"> + </w:t>
      </w:r>
      <w:proofErr w:type="spellStart"/>
      <w:r w:rsidR="001F2DCF" w:rsidRPr="00C240BB">
        <w:rPr>
          <w:rFonts w:cs="Arial"/>
          <w:sz w:val="24"/>
          <w:szCs w:val="24"/>
        </w:rPr>
        <w:t>Mathbuster</w:t>
      </w:r>
      <w:proofErr w:type="spellEnd"/>
      <w:r w:rsidR="001F2DCF" w:rsidRPr="00C240BB">
        <w:rPr>
          <w:rFonts w:cs="Arial"/>
          <w:sz w:val="24"/>
          <w:szCs w:val="24"/>
        </w:rPr>
        <w:t xml:space="preserve"> koji se provodi od 2018.-2020. te sredstva iz EU za „Shemu školsko voće“</w:t>
      </w:r>
      <w:r w:rsidR="00B22FD7" w:rsidRPr="00C240BB">
        <w:rPr>
          <w:rFonts w:cs="Arial"/>
          <w:sz w:val="24"/>
          <w:szCs w:val="24"/>
        </w:rPr>
        <w:t>.</w:t>
      </w:r>
    </w:p>
    <w:p w:rsidR="001F2DCF" w:rsidRPr="00C240BB" w:rsidRDefault="001F2DCF" w:rsidP="001F2DCF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072 </w:t>
      </w:r>
    </w:p>
    <w:p w:rsidR="00CD3CFF" w:rsidRPr="00C240BB" w:rsidRDefault="001F2DCF" w:rsidP="004A77C8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Sredstva</w:t>
      </w:r>
      <w:r w:rsidR="00B22FD7" w:rsidRPr="00C240BB">
        <w:rPr>
          <w:rFonts w:cs="Arial"/>
          <w:sz w:val="24"/>
          <w:szCs w:val="24"/>
        </w:rPr>
        <w:t xml:space="preserve"> za projekt osiguravanja pomoćnika u nastavi učenicima s teškoćama u razvoju  „Ja mogu“.</w:t>
      </w:r>
      <w:r w:rsidRPr="00C240BB">
        <w:rPr>
          <w:rFonts w:cs="Arial"/>
          <w:sz w:val="24"/>
          <w:szCs w:val="24"/>
        </w:rPr>
        <w:t xml:space="preserve"> Sredstva se odnose na plaće pomoćnika u nastavi zaključno do svibnja 2018.g.</w:t>
      </w:r>
    </w:p>
    <w:p w:rsidR="00147C42" w:rsidRPr="00C240BB" w:rsidRDefault="00B22FD7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077</w:t>
      </w:r>
    </w:p>
    <w:p w:rsidR="004A77C8" w:rsidRPr="00C240BB" w:rsidRDefault="00A85F05" w:rsidP="004C4D68">
      <w:pPr>
        <w:ind w:left="360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Prihodi od  PBZ-a po vođenju </w:t>
      </w:r>
      <w:r w:rsidR="00CD3CFF" w:rsidRPr="00C240BB">
        <w:rPr>
          <w:rFonts w:cs="Arial"/>
          <w:sz w:val="24"/>
          <w:szCs w:val="24"/>
        </w:rPr>
        <w:t>Cash-</w:t>
      </w:r>
      <w:proofErr w:type="spellStart"/>
      <w:r w:rsidR="00CD3CFF" w:rsidRPr="00C240BB">
        <w:rPr>
          <w:rFonts w:cs="Arial"/>
          <w:sz w:val="24"/>
          <w:szCs w:val="24"/>
        </w:rPr>
        <w:t>poola</w:t>
      </w:r>
      <w:proofErr w:type="spellEnd"/>
      <w:r w:rsidR="00CD3CFF" w:rsidRPr="00C240BB">
        <w:rPr>
          <w:rFonts w:cs="Arial"/>
          <w:sz w:val="24"/>
          <w:szCs w:val="24"/>
        </w:rPr>
        <w:t xml:space="preserve"> Varaždinske županije.</w:t>
      </w:r>
      <w:r w:rsidR="001F2DCF" w:rsidRPr="00C240BB">
        <w:rPr>
          <w:rFonts w:cs="Arial"/>
          <w:sz w:val="24"/>
          <w:szCs w:val="24"/>
        </w:rPr>
        <w:t xml:space="preserve"> Prihodi su smanjeni u odnosu na proteklu godinu zbog promjene poslovne banke.</w:t>
      </w:r>
    </w:p>
    <w:p w:rsidR="004C4D68" w:rsidRPr="00C240BB" w:rsidRDefault="00147C42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11</w:t>
      </w:r>
      <w:r w:rsidR="00B22FD7" w:rsidRPr="00C240BB">
        <w:rPr>
          <w:rFonts w:cs="Arial"/>
          <w:b/>
          <w:sz w:val="24"/>
          <w:szCs w:val="24"/>
        </w:rPr>
        <w:t>6</w:t>
      </w:r>
    </w:p>
    <w:p w:rsidR="0001235F" w:rsidRPr="00C240BB" w:rsidRDefault="00147C42" w:rsidP="00B22FD7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Ostal</w:t>
      </w:r>
      <w:r w:rsidR="00B22FD7" w:rsidRPr="00C240BB">
        <w:rPr>
          <w:rFonts w:cs="Arial"/>
          <w:sz w:val="24"/>
          <w:szCs w:val="24"/>
        </w:rPr>
        <w:t>i nespomenuti prihodi uključuju uplate</w:t>
      </w:r>
      <w:r w:rsidRPr="00C240BB">
        <w:rPr>
          <w:rFonts w:cs="Arial"/>
          <w:sz w:val="24"/>
          <w:szCs w:val="24"/>
        </w:rPr>
        <w:t xml:space="preserve"> učenika</w:t>
      </w:r>
      <w:r w:rsidR="00B22FD7" w:rsidRPr="00C240BB">
        <w:rPr>
          <w:rFonts w:cs="Arial"/>
          <w:sz w:val="24"/>
          <w:szCs w:val="24"/>
        </w:rPr>
        <w:t xml:space="preserve"> na ime pokrića troškova osiguranja, izdavanja ljetopisa, podizanje učeničkog standarda te uplate </w:t>
      </w:r>
      <w:r w:rsidR="00E30424" w:rsidRPr="00C240BB">
        <w:rPr>
          <w:rFonts w:cs="Arial"/>
          <w:sz w:val="24"/>
          <w:szCs w:val="24"/>
        </w:rPr>
        <w:t>učenika za kazalište i izlete</w:t>
      </w:r>
      <w:r w:rsidR="00B22FD7" w:rsidRPr="00C240BB">
        <w:rPr>
          <w:rFonts w:cs="Arial"/>
          <w:sz w:val="24"/>
          <w:szCs w:val="24"/>
        </w:rPr>
        <w:t xml:space="preserve">, fotografiranje i maturalnu večeru. </w:t>
      </w:r>
      <w:r w:rsidR="00F2594B" w:rsidRPr="00C240BB">
        <w:rPr>
          <w:rFonts w:cs="Arial"/>
          <w:sz w:val="24"/>
          <w:szCs w:val="24"/>
        </w:rPr>
        <w:t xml:space="preserve"> </w:t>
      </w:r>
    </w:p>
    <w:p w:rsidR="00E30424" w:rsidRPr="00C240BB" w:rsidRDefault="00335373" w:rsidP="0001235F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126</w:t>
      </w:r>
    </w:p>
    <w:p w:rsidR="008A0A35" w:rsidRPr="00C240BB" w:rsidRDefault="00E30424" w:rsidP="0001235F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Prihodi od pruženih usluga uključuju prihode od ovjera</w:t>
      </w:r>
      <w:r w:rsidR="00CD3CFF" w:rsidRPr="00C240BB">
        <w:rPr>
          <w:rFonts w:cs="Arial"/>
          <w:sz w:val="24"/>
          <w:szCs w:val="24"/>
        </w:rPr>
        <w:t xml:space="preserve"> svjedodžbi te zakupa prostora i najma dvorane. </w:t>
      </w:r>
      <w:r w:rsidR="00F2594B" w:rsidRPr="00C240BB">
        <w:rPr>
          <w:rFonts w:cs="Arial"/>
          <w:sz w:val="24"/>
          <w:szCs w:val="24"/>
        </w:rPr>
        <w:t xml:space="preserve"> Povećani su u odnosu na proteklu godinu iz razloga što se, uz iznajmljivanje sportske dvorane za rekreaciju, iznajmljuju i prostorije škole, </w:t>
      </w:r>
      <w:proofErr w:type="spellStart"/>
      <w:r w:rsidR="00F2594B" w:rsidRPr="00C240BB">
        <w:rPr>
          <w:rFonts w:cs="Arial"/>
          <w:sz w:val="24"/>
          <w:szCs w:val="24"/>
        </w:rPr>
        <w:t>tj.učionice</w:t>
      </w:r>
      <w:proofErr w:type="spellEnd"/>
      <w:r w:rsidR="00F2594B" w:rsidRPr="00C240BB">
        <w:rPr>
          <w:rFonts w:cs="Arial"/>
          <w:sz w:val="24"/>
          <w:szCs w:val="24"/>
        </w:rPr>
        <w:t xml:space="preserve"> . </w:t>
      </w:r>
    </w:p>
    <w:p w:rsidR="00147C42" w:rsidRPr="00C240BB" w:rsidRDefault="00147C42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12</w:t>
      </w:r>
      <w:r w:rsidR="00335373" w:rsidRPr="00C240BB">
        <w:rPr>
          <w:rFonts w:cs="Arial"/>
          <w:b/>
          <w:sz w:val="24"/>
          <w:szCs w:val="24"/>
        </w:rPr>
        <w:t>8</w:t>
      </w:r>
      <w:r w:rsidRPr="00C240BB">
        <w:rPr>
          <w:rFonts w:cs="Arial"/>
          <w:b/>
          <w:sz w:val="24"/>
          <w:szCs w:val="24"/>
        </w:rPr>
        <w:t xml:space="preserve"> </w:t>
      </w:r>
    </w:p>
    <w:p w:rsidR="00147C42" w:rsidRPr="00C240BB" w:rsidRDefault="00E30424" w:rsidP="00335373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Tekuće donacije obuhvaćaju </w:t>
      </w:r>
      <w:r w:rsidR="00CD3CFF" w:rsidRPr="00C240BB">
        <w:rPr>
          <w:rFonts w:cs="Arial"/>
          <w:sz w:val="24"/>
          <w:szCs w:val="24"/>
        </w:rPr>
        <w:t xml:space="preserve">donacije primljene za troškove sudjelovanja na </w:t>
      </w:r>
      <w:r w:rsidR="00CA7449" w:rsidRPr="00C240BB">
        <w:rPr>
          <w:rFonts w:cs="Arial"/>
          <w:sz w:val="24"/>
          <w:szCs w:val="24"/>
        </w:rPr>
        <w:t>ISF sportskim natjecanjima.</w:t>
      </w:r>
    </w:p>
    <w:p w:rsidR="00147C42" w:rsidRPr="00C240BB" w:rsidRDefault="00335373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lastRenderedPageBreak/>
        <w:t>AOP 132</w:t>
      </w:r>
    </w:p>
    <w:p w:rsidR="00147C42" w:rsidRPr="00C240BB" w:rsidRDefault="00CD3CFF" w:rsidP="00335373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Uključuje prihode iz nadležnog proračuna za financiranje redovne djelatnosti odnosno prihode primljene od Varaždinske županije. </w:t>
      </w:r>
      <w:r w:rsidR="00CA7449" w:rsidRPr="00C240BB">
        <w:rPr>
          <w:rFonts w:cs="Arial"/>
          <w:sz w:val="24"/>
          <w:szCs w:val="24"/>
        </w:rPr>
        <w:t xml:space="preserve">Iskazuju značajni porast iz razloga što su primljena sredstva za provođenje projekta Energetske obnove zgrade Druge gimnazije Varaždin. </w:t>
      </w:r>
    </w:p>
    <w:p w:rsidR="004C4D68" w:rsidRPr="00C240BB" w:rsidRDefault="00147C42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</w:t>
      </w:r>
      <w:r w:rsidR="00221825" w:rsidRPr="00C240BB">
        <w:rPr>
          <w:rFonts w:cs="Arial"/>
          <w:b/>
          <w:sz w:val="24"/>
          <w:szCs w:val="24"/>
        </w:rPr>
        <w:t>150</w:t>
      </w:r>
    </w:p>
    <w:p w:rsidR="002D005D" w:rsidRPr="00C240BB" w:rsidRDefault="00335373" w:rsidP="00335373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Rashodi za plaće povećani su u odnosu na prethodnu godinu, razlog tome je promjena     osnovice za obračun plaća koja se </w:t>
      </w:r>
      <w:r w:rsidR="002D005D" w:rsidRPr="00C240BB">
        <w:rPr>
          <w:rFonts w:cs="Arial"/>
          <w:sz w:val="24"/>
          <w:szCs w:val="24"/>
        </w:rPr>
        <w:t>razlikuje od osnovice u 2017.g. pa shodno tome i troškovi plaće iskazuju porast.</w:t>
      </w:r>
    </w:p>
    <w:p w:rsidR="002D005D" w:rsidRPr="00C240BB" w:rsidRDefault="002D005D" w:rsidP="002D005D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153</w:t>
      </w:r>
    </w:p>
    <w:p w:rsidR="002D005D" w:rsidRPr="00C240BB" w:rsidRDefault="002D005D" w:rsidP="002D005D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Plaće za prekovremeni rad iskazuju porast u odnosu na proteklu godinu iz razloga što je Škola uključena u eksperimentalni program  MZO-a pod nazivom „Škola za život“ u sklopu kojega se obračunavaju prekovremeni sati provedeni u dodatnom radu po eksperimentalnom programu prema naputku MZO-a. </w:t>
      </w:r>
    </w:p>
    <w:p w:rsidR="00221825" w:rsidRPr="00C240BB" w:rsidRDefault="009179AF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155</w:t>
      </w:r>
    </w:p>
    <w:p w:rsidR="00E42549" w:rsidRPr="00C240BB" w:rsidRDefault="009179AF" w:rsidP="009179AF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Isplaćivane su jubilarne nagrade, božićnica i regres te naknade za rođenje djeteta, bolovanje dulje od 90 dana te pomoći. Ispla</w:t>
      </w:r>
      <w:r w:rsidR="00C31121" w:rsidRPr="00C240BB">
        <w:rPr>
          <w:rFonts w:cs="Arial"/>
          <w:sz w:val="24"/>
          <w:szCs w:val="24"/>
        </w:rPr>
        <w:t>ćene su otpremnine zaposlenici</w:t>
      </w:r>
      <w:r w:rsidRPr="00C240BB">
        <w:rPr>
          <w:rFonts w:cs="Arial"/>
          <w:sz w:val="24"/>
          <w:szCs w:val="24"/>
        </w:rPr>
        <w:t xml:space="preserve"> prilikom odlaska u mirovinu.</w:t>
      </w:r>
    </w:p>
    <w:p w:rsidR="00221825" w:rsidRPr="00C240BB" w:rsidRDefault="00C31121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163 </w:t>
      </w:r>
    </w:p>
    <w:p w:rsidR="00221825" w:rsidRPr="00C240BB" w:rsidRDefault="00221825" w:rsidP="009179AF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Povećane su naknade </w:t>
      </w:r>
      <w:r w:rsidR="00C31121" w:rsidRPr="00C240BB">
        <w:rPr>
          <w:rFonts w:cs="Arial"/>
          <w:sz w:val="24"/>
          <w:szCs w:val="24"/>
        </w:rPr>
        <w:t xml:space="preserve">za prijevoz obzirom na promjenu TKU za službenike i namještenike u javnim službama koja je rezultirala time da više zaposlenika ostvaruje pravo na naknadu   po cijeni javnog prijevoza. </w:t>
      </w:r>
    </w:p>
    <w:p w:rsidR="00221825" w:rsidRPr="00C240BB" w:rsidRDefault="0066414F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166</w:t>
      </w:r>
    </w:p>
    <w:p w:rsidR="00320BDC" w:rsidRPr="00C240BB" w:rsidRDefault="0066414F" w:rsidP="001F68A4">
      <w:pPr>
        <w:ind w:left="426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Povećani su</w:t>
      </w:r>
      <w:r w:rsidR="00221825" w:rsidRPr="00C240BB">
        <w:rPr>
          <w:rFonts w:cs="Arial"/>
          <w:sz w:val="24"/>
          <w:szCs w:val="24"/>
        </w:rPr>
        <w:t xml:space="preserve"> t</w:t>
      </w:r>
      <w:r w:rsidR="001F68A4" w:rsidRPr="00C240BB">
        <w:rPr>
          <w:rFonts w:cs="Arial"/>
          <w:sz w:val="24"/>
          <w:szCs w:val="24"/>
        </w:rPr>
        <w:t xml:space="preserve">roškovi za materijal i energiju.  Nabavljeno je manje sitnog inventara, a više </w:t>
      </w:r>
      <w:r w:rsidRPr="00C240BB">
        <w:rPr>
          <w:rFonts w:cs="Arial"/>
          <w:sz w:val="24"/>
          <w:szCs w:val="24"/>
        </w:rPr>
        <w:t>uredskog materijala zbog provođenja različitih projekata</w:t>
      </w:r>
      <w:r w:rsidR="001F68A4" w:rsidRPr="00C240BB">
        <w:rPr>
          <w:rFonts w:cs="Arial"/>
          <w:sz w:val="24"/>
          <w:szCs w:val="24"/>
        </w:rPr>
        <w:t xml:space="preserve">. </w:t>
      </w:r>
      <w:r w:rsidR="00D94D1A" w:rsidRPr="00C240BB">
        <w:rPr>
          <w:rFonts w:cs="Arial"/>
          <w:sz w:val="24"/>
          <w:szCs w:val="24"/>
        </w:rPr>
        <w:t xml:space="preserve">Troškovi energije su porasli jer se prostorije škole griju više radi iznajmljivanja, a također je porasla i cijena energenata. </w:t>
      </w:r>
    </w:p>
    <w:p w:rsidR="00E421AC" w:rsidRPr="00C240BB" w:rsidRDefault="001F68A4" w:rsidP="00320BDC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174</w:t>
      </w:r>
    </w:p>
    <w:p w:rsidR="00276C10" w:rsidRPr="00C240BB" w:rsidRDefault="00874BFE" w:rsidP="00874BFE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Rashodi za usluge su značajno povećani iz razloga što uključuju rashode za radove na Energetskoj obnovi zgrade Druge gimnazije Varaždin. Unutar rashoda za usluge smanjeni </w:t>
      </w:r>
      <w:r w:rsidRPr="00C240BB">
        <w:rPr>
          <w:rFonts w:cs="Arial"/>
          <w:sz w:val="24"/>
          <w:szCs w:val="24"/>
        </w:rPr>
        <w:lastRenderedPageBreak/>
        <w:t xml:space="preserve">su rashodi za intelektualne i osobne usluge obzirom da je protekle godine na toj stavci bio trošak izrade projekta za Energetsku obnovu zgrade Druge gimnazije Varaždin. </w:t>
      </w:r>
    </w:p>
    <w:p w:rsidR="00276C10" w:rsidRPr="00C240BB" w:rsidRDefault="00276C10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183</w:t>
      </w:r>
    </w:p>
    <w:p w:rsidR="00874BFE" w:rsidRPr="00C240BB" w:rsidRDefault="00276C10" w:rsidP="00276C10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Ostale usluge uključuju uslugu tiskanja ljetopisa, uslugu organiziranja aranžmana za 7.Međunarodnu  reviju sporta, usluge Plesne škole Varaždin. </w:t>
      </w:r>
    </w:p>
    <w:p w:rsidR="00BD1654" w:rsidRPr="00C240BB" w:rsidRDefault="002C1E5B" w:rsidP="00BD165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185</w:t>
      </w:r>
    </w:p>
    <w:p w:rsidR="00C66F11" w:rsidRPr="00C240BB" w:rsidRDefault="004E072A" w:rsidP="00BD1654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Ostali nespomenuti rashodi su smanjeni u</w:t>
      </w:r>
      <w:r w:rsidR="00985643" w:rsidRPr="00C240BB">
        <w:rPr>
          <w:rFonts w:cs="Arial"/>
          <w:sz w:val="24"/>
          <w:szCs w:val="24"/>
        </w:rPr>
        <w:t xml:space="preserve"> odnosu na prethodnu godinu 10,1</w:t>
      </w:r>
      <w:r w:rsidRPr="00C240BB">
        <w:rPr>
          <w:rFonts w:cs="Arial"/>
          <w:sz w:val="24"/>
          <w:szCs w:val="24"/>
        </w:rPr>
        <w:t xml:space="preserve">%. Isti uključuju troškove premije osiguranja imovine i zaposlenih, reprezentaciju, članarine te pristojbe i naknade. Uključuju i troškove za izlete učenika, maturalnu večeru i ostale troškove učenika. </w:t>
      </w:r>
    </w:p>
    <w:p w:rsidR="004E072A" w:rsidRPr="00C240BB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193 </w:t>
      </w:r>
    </w:p>
    <w:p w:rsidR="004E072A" w:rsidRPr="00C240BB" w:rsidRDefault="004E072A" w:rsidP="00276C10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Financijski rashodi uključuju troškove platnog prometa i tečajnih razlika</w:t>
      </w:r>
      <w:r w:rsidR="00276C10" w:rsidRPr="00C240BB">
        <w:rPr>
          <w:rFonts w:cs="Arial"/>
          <w:sz w:val="24"/>
          <w:szCs w:val="24"/>
        </w:rPr>
        <w:t xml:space="preserve"> te zateznih              kamata</w:t>
      </w:r>
      <w:r w:rsidRPr="00C240BB">
        <w:rPr>
          <w:rFonts w:cs="Arial"/>
          <w:sz w:val="24"/>
          <w:szCs w:val="24"/>
        </w:rPr>
        <w:t xml:space="preserve">. </w:t>
      </w:r>
    </w:p>
    <w:p w:rsidR="00276C10" w:rsidRPr="00C240BB" w:rsidRDefault="00276C10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282 </w:t>
      </w:r>
    </w:p>
    <w:p w:rsidR="00276C10" w:rsidRPr="00C240BB" w:rsidRDefault="00276C10" w:rsidP="00276C10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Višak prihoda poslovanja prije izvršene korekcije za kapitalne prijenose. </w:t>
      </w:r>
    </w:p>
    <w:p w:rsidR="00276C10" w:rsidRPr="00C240BB" w:rsidRDefault="00276C10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284</w:t>
      </w:r>
    </w:p>
    <w:p w:rsidR="00276C10" w:rsidRPr="00C240BB" w:rsidRDefault="00276C10" w:rsidP="00276C10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Preneseni višak razlikuje se od </w:t>
      </w:r>
      <w:r w:rsidR="008A0A35" w:rsidRPr="00C240BB">
        <w:rPr>
          <w:rFonts w:cs="Arial"/>
          <w:sz w:val="24"/>
          <w:szCs w:val="24"/>
        </w:rPr>
        <w:t>stanja iskazanog u bilanci 31.12.2017.iz razloga što je izvršeno knjiženje po odluci o rasporedu rezul</w:t>
      </w:r>
      <w:r w:rsidR="00CC60CC" w:rsidRPr="00C240BB">
        <w:rPr>
          <w:rFonts w:cs="Arial"/>
          <w:sz w:val="24"/>
          <w:szCs w:val="24"/>
        </w:rPr>
        <w:t>tata,</w:t>
      </w:r>
      <w:r w:rsidR="008A0A35" w:rsidRPr="00C240BB">
        <w:rPr>
          <w:rFonts w:cs="Arial"/>
          <w:sz w:val="24"/>
          <w:szCs w:val="24"/>
        </w:rPr>
        <w:t xml:space="preserve"> izvršen </w:t>
      </w:r>
      <w:r w:rsidR="00CC60CC" w:rsidRPr="00C240BB">
        <w:rPr>
          <w:rFonts w:cs="Arial"/>
          <w:sz w:val="24"/>
          <w:szCs w:val="24"/>
        </w:rPr>
        <w:t xml:space="preserve">je i </w:t>
      </w:r>
      <w:r w:rsidR="008A0A35" w:rsidRPr="00C240BB">
        <w:rPr>
          <w:rFonts w:cs="Arial"/>
          <w:sz w:val="24"/>
          <w:szCs w:val="24"/>
        </w:rPr>
        <w:t xml:space="preserve">povrat neiskorištenih sredstava Hrvatskom zavodu za zapošljavanje te je izvršena korekcija zbog rashoda koji je u izvještajnoj godini 2015.g.pogreškom dva puta proknjižen. </w:t>
      </w:r>
    </w:p>
    <w:p w:rsidR="004E072A" w:rsidRPr="00C240BB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289</w:t>
      </w:r>
    </w:p>
    <w:p w:rsidR="004E072A" w:rsidRPr="00C240BB" w:rsidRDefault="004E072A" w:rsidP="004E072A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Prihodi od prodaje stanova</w:t>
      </w:r>
      <w:r w:rsidR="000132A7" w:rsidRPr="00C240BB">
        <w:rPr>
          <w:rFonts w:cs="Arial"/>
          <w:sz w:val="24"/>
          <w:szCs w:val="24"/>
        </w:rPr>
        <w:t xml:space="preserve"> u neto iznosu – umanjenom za obvezu za uplatu u Državni proračun 65%</w:t>
      </w:r>
      <w:r w:rsidRPr="00C240BB">
        <w:rPr>
          <w:rFonts w:cs="Arial"/>
          <w:sz w:val="24"/>
          <w:szCs w:val="24"/>
        </w:rPr>
        <w:t xml:space="preserve">. </w:t>
      </w:r>
    </w:p>
    <w:p w:rsidR="004E072A" w:rsidRPr="00C240BB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341</w:t>
      </w:r>
    </w:p>
    <w:p w:rsidR="004E072A" w:rsidRPr="00C240BB" w:rsidRDefault="004E072A" w:rsidP="004E072A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Rashodi za nabavu ne</w:t>
      </w:r>
      <w:r w:rsidR="00EF632A" w:rsidRPr="00C240BB">
        <w:rPr>
          <w:rFonts w:cs="Arial"/>
          <w:sz w:val="24"/>
          <w:szCs w:val="24"/>
        </w:rPr>
        <w:t xml:space="preserve">financijske imovine povećani su u odnosu na prethodnu godinu jer su, u sklopu eksperimentalnog programa Ministarstva znanosti i obrazovanja „Škola za život“ nabavljena </w:t>
      </w:r>
      <w:proofErr w:type="spellStart"/>
      <w:r w:rsidR="00EF632A" w:rsidRPr="00C240BB">
        <w:rPr>
          <w:rFonts w:cs="Arial"/>
          <w:sz w:val="24"/>
          <w:szCs w:val="24"/>
        </w:rPr>
        <w:t>tablet</w:t>
      </w:r>
      <w:proofErr w:type="spellEnd"/>
      <w:r w:rsidR="00EF632A" w:rsidRPr="00C240BB">
        <w:rPr>
          <w:rFonts w:cs="Arial"/>
          <w:sz w:val="24"/>
          <w:szCs w:val="24"/>
        </w:rPr>
        <w:t xml:space="preserve"> računala za učenike 1.razreda.</w:t>
      </w:r>
      <w:r w:rsidRPr="00C240BB">
        <w:rPr>
          <w:rFonts w:cs="Arial"/>
          <w:sz w:val="24"/>
          <w:szCs w:val="24"/>
        </w:rPr>
        <w:t xml:space="preserve"> Nabavljen</w:t>
      </w:r>
      <w:r w:rsidR="00EF632A" w:rsidRPr="00C240BB">
        <w:rPr>
          <w:rFonts w:cs="Arial"/>
          <w:sz w:val="24"/>
          <w:szCs w:val="24"/>
        </w:rPr>
        <w:t xml:space="preserve">a je uredska oprema i namještaj, stolna računala </w:t>
      </w:r>
      <w:r w:rsidRPr="00C240BB">
        <w:rPr>
          <w:rFonts w:cs="Arial"/>
          <w:sz w:val="24"/>
          <w:szCs w:val="24"/>
        </w:rPr>
        <w:t xml:space="preserve">te knjige za knjižicu. </w:t>
      </w:r>
    </w:p>
    <w:p w:rsidR="000132A7" w:rsidRPr="00C240BB" w:rsidRDefault="000132A7" w:rsidP="004E072A">
      <w:pPr>
        <w:ind w:left="360"/>
        <w:jc w:val="both"/>
        <w:rPr>
          <w:rFonts w:cs="Arial"/>
          <w:sz w:val="24"/>
          <w:szCs w:val="24"/>
        </w:rPr>
      </w:pPr>
    </w:p>
    <w:p w:rsidR="004E072A" w:rsidRPr="00C240BB" w:rsidRDefault="004E072A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lastRenderedPageBreak/>
        <w:t>AOP 405</w:t>
      </w:r>
    </w:p>
    <w:p w:rsidR="004E072A" w:rsidRPr="00C240BB" w:rsidRDefault="004E072A" w:rsidP="004E072A">
      <w:pPr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      Iskazan je ukupan višak prihoda izvještajnog razdoblja. </w:t>
      </w:r>
    </w:p>
    <w:p w:rsidR="00BD6C10" w:rsidRPr="00C240BB" w:rsidRDefault="00BD6C10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  </w:t>
      </w:r>
      <w:r w:rsidRPr="00C240BB">
        <w:rPr>
          <w:rFonts w:cs="Arial"/>
          <w:b/>
          <w:sz w:val="24"/>
          <w:szCs w:val="24"/>
        </w:rPr>
        <w:t>AOP 407</w:t>
      </w:r>
    </w:p>
    <w:p w:rsidR="00BD6C10" w:rsidRPr="00C240BB" w:rsidRDefault="00BD6C10" w:rsidP="00BD6C10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Preneseni višak prethodnog razdoblja</w:t>
      </w:r>
      <w:r w:rsidR="00EF632A" w:rsidRPr="00C240BB">
        <w:rPr>
          <w:rFonts w:cs="Arial"/>
          <w:sz w:val="24"/>
          <w:szCs w:val="24"/>
        </w:rPr>
        <w:t xml:space="preserve"> s korekcijama</w:t>
      </w:r>
      <w:r w:rsidRPr="00C240BB">
        <w:rPr>
          <w:rFonts w:cs="Arial"/>
          <w:sz w:val="24"/>
          <w:szCs w:val="24"/>
        </w:rPr>
        <w:t xml:space="preserve">. </w:t>
      </w:r>
    </w:p>
    <w:p w:rsidR="00BD6C10" w:rsidRPr="00C240BB" w:rsidRDefault="00BD6C10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  </w:t>
      </w:r>
      <w:r w:rsidR="00EF632A" w:rsidRPr="00C240BB">
        <w:rPr>
          <w:rFonts w:cs="Arial"/>
          <w:b/>
          <w:sz w:val="24"/>
          <w:szCs w:val="24"/>
        </w:rPr>
        <w:t>AOP 635</w:t>
      </w:r>
    </w:p>
    <w:p w:rsidR="00EF632A" w:rsidRPr="00C240BB" w:rsidRDefault="00EF632A" w:rsidP="00EF632A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Ukupan višak raspoloživ u idućim godinama uključuje tekući višak i doneseni rezultat protekle godine.</w:t>
      </w:r>
    </w:p>
    <w:p w:rsidR="00EF632A" w:rsidRPr="00C240BB" w:rsidRDefault="00EF632A" w:rsidP="00EF63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641</w:t>
      </w:r>
    </w:p>
    <w:p w:rsidR="00BD6C10" w:rsidRPr="00C240BB" w:rsidRDefault="00EF632A" w:rsidP="00EF632A">
      <w:pPr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     </w:t>
      </w:r>
      <w:r w:rsidR="00BD6C10" w:rsidRPr="00C240BB">
        <w:rPr>
          <w:rFonts w:cs="Arial"/>
          <w:sz w:val="24"/>
          <w:szCs w:val="24"/>
        </w:rPr>
        <w:t>Stanje žirorač</w:t>
      </w:r>
      <w:r w:rsidRPr="00C240BB">
        <w:rPr>
          <w:rFonts w:cs="Arial"/>
          <w:sz w:val="24"/>
          <w:szCs w:val="24"/>
        </w:rPr>
        <w:t>una i blagajne na dan 31.12.2018</w:t>
      </w:r>
      <w:r w:rsidR="00BD6C10" w:rsidRPr="00C240BB">
        <w:rPr>
          <w:rFonts w:cs="Arial"/>
          <w:sz w:val="24"/>
          <w:szCs w:val="24"/>
        </w:rPr>
        <w:t>.g.</w:t>
      </w:r>
    </w:p>
    <w:p w:rsidR="00B10602" w:rsidRPr="00C240BB" w:rsidRDefault="00B10602" w:rsidP="00B1060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653 </w:t>
      </w:r>
    </w:p>
    <w:p w:rsidR="00B10602" w:rsidRPr="00C240BB" w:rsidRDefault="00B10602" w:rsidP="00B10602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Tekuće pomoći odnose se na pomoći za financiranje ISF natjecanja. </w:t>
      </w:r>
    </w:p>
    <w:p w:rsidR="00BD6C10" w:rsidRPr="00C240BB" w:rsidRDefault="00BD6C10" w:rsidP="00BD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687</w:t>
      </w:r>
    </w:p>
    <w:p w:rsidR="00BD6C10" w:rsidRPr="00C240BB" w:rsidRDefault="00BB0459" w:rsidP="00BD6C10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Isplaćeno manje</w:t>
      </w:r>
      <w:r w:rsidR="00DD0536" w:rsidRPr="00C240BB">
        <w:rPr>
          <w:rFonts w:cs="Arial"/>
          <w:sz w:val="24"/>
          <w:szCs w:val="24"/>
        </w:rPr>
        <w:t xml:space="preserve"> otpremnina u odnosu na</w:t>
      </w:r>
      <w:r w:rsidRPr="00C240BB">
        <w:rPr>
          <w:rFonts w:cs="Arial"/>
          <w:sz w:val="24"/>
          <w:szCs w:val="24"/>
        </w:rPr>
        <w:t xml:space="preserve"> prethodnu godinu obzirom da je jedna zaposlenica</w:t>
      </w:r>
      <w:r w:rsidR="00DD0536" w:rsidRPr="00C240BB">
        <w:rPr>
          <w:rFonts w:cs="Arial"/>
          <w:sz w:val="24"/>
          <w:szCs w:val="24"/>
        </w:rPr>
        <w:t xml:space="preserve"> otišl</w:t>
      </w:r>
      <w:r w:rsidRPr="00C240BB">
        <w:rPr>
          <w:rFonts w:cs="Arial"/>
          <w:sz w:val="24"/>
          <w:szCs w:val="24"/>
        </w:rPr>
        <w:t>a</w:t>
      </w:r>
      <w:r w:rsidR="00DD0536" w:rsidRPr="00C240BB">
        <w:rPr>
          <w:rFonts w:cs="Arial"/>
          <w:sz w:val="24"/>
          <w:szCs w:val="24"/>
        </w:rPr>
        <w:t xml:space="preserve"> u mirovinu tijekom 201</w:t>
      </w:r>
      <w:r w:rsidRPr="00C240BB">
        <w:rPr>
          <w:rFonts w:cs="Arial"/>
          <w:sz w:val="24"/>
          <w:szCs w:val="24"/>
        </w:rPr>
        <w:t>8</w:t>
      </w:r>
      <w:r w:rsidR="00DD0536" w:rsidRPr="00C240BB">
        <w:rPr>
          <w:rFonts w:cs="Arial"/>
          <w:sz w:val="24"/>
          <w:szCs w:val="24"/>
        </w:rPr>
        <w:t>.g.</w:t>
      </w:r>
    </w:p>
    <w:p w:rsidR="00DD0536" w:rsidRPr="00C240BB" w:rsidRDefault="00DD0536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692</w:t>
      </w:r>
    </w:p>
    <w:p w:rsidR="00DD0536" w:rsidRPr="00C240BB" w:rsidRDefault="00DD0536" w:rsidP="00DD0536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 </w:t>
      </w:r>
      <w:r w:rsidRPr="00C240BB">
        <w:rPr>
          <w:rFonts w:cs="Arial"/>
          <w:sz w:val="24"/>
          <w:szCs w:val="24"/>
        </w:rPr>
        <w:t xml:space="preserve">Povećani rashodi za autorske honorare i ugovore o djelu na ime </w:t>
      </w:r>
      <w:r w:rsidR="00BB0459" w:rsidRPr="00C240BB">
        <w:rPr>
          <w:rFonts w:cs="Arial"/>
          <w:sz w:val="24"/>
          <w:szCs w:val="24"/>
        </w:rPr>
        <w:t>provođenja projekata u obrazovanju.</w:t>
      </w:r>
      <w:r w:rsidRPr="00C240BB">
        <w:rPr>
          <w:rFonts w:cs="Arial"/>
          <w:sz w:val="24"/>
          <w:szCs w:val="24"/>
        </w:rPr>
        <w:t xml:space="preserve"> </w:t>
      </w:r>
    </w:p>
    <w:p w:rsidR="00DD0536" w:rsidRPr="00C240BB" w:rsidRDefault="006728B1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694</w:t>
      </w:r>
    </w:p>
    <w:p w:rsidR="00DD0536" w:rsidRPr="00C240BB" w:rsidRDefault="006728B1" w:rsidP="00DD0536">
      <w:pPr>
        <w:ind w:left="284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Usluge upravljanja i vođenja projekta Energetske obnove zgrade Druge gimnazije Varaždin od strane AZRA-e. </w:t>
      </w:r>
    </w:p>
    <w:p w:rsidR="000235E6" w:rsidRPr="00C240BB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sz w:val="24"/>
          <w:szCs w:val="24"/>
        </w:rPr>
        <w:tab/>
      </w:r>
      <w:r w:rsidRPr="00C240BB">
        <w:rPr>
          <w:rFonts w:cs="Arial"/>
          <w:b/>
          <w:sz w:val="24"/>
          <w:szCs w:val="24"/>
        </w:rPr>
        <w:t>BILJEŠKE UZ OBRAZAC P-VRIO</w:t>
      </w:r>
    </w:p>
    <w:p w:rsidR="000235E6" w:rsidRPr="00C240BB" w:rsidRDefault="000235E6" w:rsidP="000235E6">
      <w:pPr>
        <w:pStyle w:val="Odlomakpopisa"/>
        <w:rPr>
          <w:rFonts w:cs="Arial"/>
          <w:sz w:val="24"/>
          <w:szCs w:val="24"/>
        </w:rPr>
      </w:pPr>
    </w:p>
    <w:p w:rsidR="000235E6" w:rsidRPr="00C240BB" w:rsidRDefault="000235E6" w:rsidP="00E421AC">
      <w:pPr>
        <w:ind w:firstLine="360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021 </w:t>
      </w:r>
    </w:p>
    <w:p w:rsidR="004A77C8" w:rsidRPr="00C240BB" w:rsidRDefault="0001235F" w:rsidP="00E421AC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Smanjenje</w:t>
      </w:r>
      <w:r w:rsidR="000235E6" w:rsidRPr="00C240BB">
        <w:rPr>
          <w:rFonts w:cs="Arial"/>
          <w:sz w:val="24"/>
          <w:szCs w:val="24"/>
        </w:rPr>
        <w:t xml:space="preserve"> proizvedene dugotrajne imovine obuhvaća </w:t>
      </w:r>
      <w:r w:rsidRPr="00C240BB">
        <w:rPr>
          <w:rFonts w:cs="Arial"/>
          <w:sz w:val="24"/>
          <w:szCs w:val="24"/>
        </w:rPr>
        <w:t xml:space="preserve">otpis knjiga iz knjižnice po izvršenoj reviziji knjižnične građe. </w:t>
      </w:r>
    </w:p>
    <w:p w:rsidR="00661113" w:rsidRDefault="00661113" w:rsidP="00E421AC">
      <w:pPr>
        <w:ind w:left="360"/>
        <w:jc w:val="both"/>
        <w:rPr>
          <w:rFonts w:cs="Arial"/>
          <w:sz w:val="24"/>
          <w:szCs w:val="24"/>
        </w:rPr>
      </w:pPr>
    </w:p>
    <w:p w:rsidR="0080284B" w:rsidRDefault="0080284B" w:rsidP="00E421AC">
      <w:pPr>
        <w:ind w:left="360"/>
        <w:jc w:val="both"/>
        <w:rPr>
          <w:rFonts w:cs="Arial"/>
          <w:sz w:val="24"/>
          <w:szCs w:val="24"/>
        </w:rPr>
      </w:pPr>
    </w:p>
    <w:p w:rsidR="0080284B" w:rsidRPr="00C240BB" w:rsidRDefault="0080284B" w:rsidP="00E421AC">
      <w:pPr>
        <w:ind w:left="360"/>
        <w:jc w:val="both"/>
        <w:rPr>
          <w:rFonts w:cs="Arial"/>
          <w:sz w:val="24"/>
          <w:szCs w:val="24"/>
        </w:rPr>
      </w:pPr>
    </w:p>
    <w:p w:rsidR="000235E6" w:rsidRPr="00C240BB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sz w:val="24"/>
          <w:szCs w:val="24"/>
        </w:rPr>
        <w:tab/>
      </w:r>
      <w:r w:rsidR="009F2CD6" w:rsidRPr="00C240BB">
        <w:rPr>
          <w:rFonts w:cs="Arial"/>
          <w:b/>
          <w:sz w:val="24"/>
          <w:szCs w:val="24"/>
        </w:rPr>
        <w:t>OBRAZAC OBVEZE</w:t>
      </w:r>
    </w:p>
    <w:p w:rsidR="00661113" w:rsidRPr="00C240BB" w:rsidRDefault="00661113" w:rsidP="00661113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4A77C8" w:rsidRPr="00C240BB" w:rsidRDefault="004A77C8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AOP 037 </w:t>
      </w:r>
    </w:p>
    <w:p w:rsidR="004A77C8" w:rsidRPr="00C240BB" w:rsidRDefault="004A77C8" w:rsidP="00276179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Dospjele obveze pri</w:t>
      </w:r>
      <w:r w:rsidR="009A0C95" w:rsidRPr="00C240BB">
        <w:rPr>
          <w:rFonts w:cs="Arial"/>
          <w:sz w:val="24"/>
          <w:szCs w:val="24"/>
        </w:rPr>
        <w:t>kazuju obveze s danom 31.12.2018</w:t>
      </w:r>
      <w:r w:rsidRPr="00C240BB">
        <w:rPr>
          <w:rFonts w:cs="Arial"/>
          <w:sz w:val="24"/>
          <w:szCs w:val="24"/>
        </w:rPr>
        <w:t>.g.koje su plaćene početkom siječnja 2018.g.</w:t>
      </w:r>
      <w:r w:rsidR="009A0C95" w:rsidRPr="00C240BB">
        <w:rPr>
          <w:rFonts w:cs="Arial"/>
          <w:sz w:val="24"/>
          <w:szCs w:val="24"/>
        </w:rPr>
        <w:t>te obveze za račune koji su primljeni nakon 31.12.2018.g. i stoga podmireni nakon navedenog datuma.</w:t>
      </w:r>
    </w:p>
    <w:p w:rsidR="009F2CD6" w:rsidRPr="00C240BB" w:rsidRDefault="00661113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090</w:t>
      </w:r>
    </w:p>
    <w:p w:rsidR="00661113" w:rsidRPr="00C240BB" w:rsidRDefault="009F2CD6" w:rsidP="00661113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 xml:space="preserve">Nedospjele obveze za rashode poslovanja </w:t>
      </w:r>
      <w:r w:rsidR="00BD1654" w:rsidRPr="00C240BB">
        <w:rPr>
          <w:rFonts w:cs="Arial"/>
          <w:sz w:val="24"/>
          <w:szCs w:val="24"/>
        </w:rPr>
        <w:t>uključuju obveze koje dospijevaju u prvom mjesecu 201</w:t>
      </w:r>
      <w:r w:rsidR="00661113" w:rsidRPr="00C240BB">
        <w:rPr>
          <w:rFonts w:cs="Arial"/>
          <w:sz w:val="24"/>
          <w:szCs w:val="24"/>
        </w:rPr>
        <w:t>8. godine te međusobne</w:t>
      </w:r>
      <w:r w:rsidR="009A0C95" w:rsidRPr="00C240BB">
        <w:rPr>
          <w:rFonts w:cs="Arial"/>
          <w:sz w:val="24"/>
          <w:szCs w:val="24"/>
        </w:rPr>
        <w:t xml:space="preserve"> obveze proračunskih korisnika. U nedospjele obveze uključena je plaća za prosinac 2018.g.koja je isplaćena u siječnju 2019.g. te ostali obveze za rashode poslovanja od kojih većinski dio odnosi obveza za plaćanje primljene privremene obračunske situacije za izvođenje radova na zgradi Druge gimnazije Varaždin, a koja dospijeva u siječnju 2019.g.</w:t>
      </w:r>
    </w:p>
    <w:p w:rsidR="00661113" w:rsidRPr="00C240BB" w:rsidRDefault="00661113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091</w:t>
      </w:r>
    </w:p>
    <w:p w:rsidR="00BD1654" w:rsidRPr="00C240BB" w:rsidRDefault="00661113" w:rsidP="00E421AC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Međusobne obveze proračunskih korisnika uključuju obveze za povrat sredstava koje refundira HZZO na ime bolovanja, previše uplaćenog poreza i prireza te 65% prikupljenih sredstava od prodanih stanova, a koje je potrebno uplatiti u državni proračun.</w:t>
      </w:r>
    </w:p>
    <w:p w:rsidR="009F2CD6" w:rsidRPr="00C240BB" w:rsidRDefault="009F2CD6" w:rsidP="009F2CD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bookmarkStart w:id="0" w:name="_GoBack"/>
      <w:bookmarkEnd w:id="0"/>
      <w:r w:rsidRPr="00C240BB">
        <w:rPr>
          <w:rFonts w:cs="Arial"/>
          <w:sz w:val="24"/>
          <w:szCs w:val="24"/>
        </w:rPr>
        <w:tab/>
      </w:r>
      <w:r w:rsidRPr="00C240BB">
        <w:rPr>
          <w:rFonts w:cs="Arial"/>
          <w:b/>
          <w:sz w:val="24"/>
          <w:szCs w:val="24"/>
        </w:rPr>
        <w:t xml:space="preserve">RAS-FUNKCIJSKI </w:t>
      </w:r>
    </w:p>
    <w:p w:rsidR="009F2CD6" w:rsidRPr="00C240BB" w:rsidRDefault="009F2CD6" w:rsidP="00E421AC">
      <w:pPr>
        <w:ind w:firstLine="360"/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>AOP 116</w:t>
      </w:r>
    </w:p>
    <w:p w:rsidR="00E421AC" w:rsidRPr="00C240BB" w:rsidRDefault="009F2CD6" w:rsidP="0080284B">
      <w:pPr>
        <w:ind w:left="360"/>
        <w:jc w:val="both"/>
        <w:rPr>
          <w:rFonts w:cs="Arial"/>
          <w:sz w:val="24"/>
          <w:szCs w:val="24"/>
        </w:rPr>
      </w:pPr>
      <w:r w:rsidRPr="00C240BB">
        <w:rPr>
          <w:rFonts w:cs="Arial"/>
          <w:sz w:val="24"/>
          <w:szCs w:val="24"/>
        </w:rPr>
        <w:t>Sukladno uputi Ministarstva financ</w:t>
      </w:r>
      <w:r w:rsidR="002D2A5F" w:rsidRPr="00C240BB">
        <w:rPr>
          <w:rFonts w:cs="Arial"/>
          <w:sz w:val="24"/>
          <w:szCs w:val="24"/>
        </w:rPr>
        <w:t>ija svi rashodi ostvareni u 201</w:t>
      </w:r>
      <w:r w:rsidR="009A0C95" w:rsidRPr="00C240BB">
        <w:rPr>
          <w:rFonts w:cs="Arial"/>
          <w:sz w:val="24"/>
          <w:szCs w:val="24"/>
        </w:rPr>
        <w:t>8</w:t>
      </w:r>
      <w:r w:rsidRPr="00C240BB">
        <w:rPr>
          <w:rFonts w:cs="Arial"/>
          <w:sz w:val="24"/>
          <w:szCs w:val="24"/>
        </w:rPr>
        <w:t>. godini, a vidljivi na AOP-u 40</w:t>
      </w:r>
      <w:r w:rsidR="00CB7451" w:rsidRPr="00C240BB">
        <w:rPr>
          <w:rFonts w:cs="Arial"/>
          <w:sz w:val="24"/>
          <w:szCs w:val="24"/>
        </w:rPr>
        <w:t>4 obrasca PR-RAS</w:t>
      </w:r>
      <w:r w:rsidRPr="00C240BB">
        <w:rPr>
          <w:rFonts w:cs="Arial"/>
          <w:sz w:val="24"/>
          <w:szCs w:val="24"/>
        </w:rPr>
        <w:t xml:space="preserve"> iskazani su na jednoj funkciji 0922 Više srednjoškolsko obrazovanje. </w:t>
      </w:r>
    </w:p>
    <w:p w:rsidR="009F2CD6" w:rsidRPr="00C240BB" w:rsidRDefault="00E421AC" w:rsidP="00E421AC">
      <w:pPr>
        <w:rPr>
          <w:rFonts w:cs="Arial"/>
          <w:b/>
          <w:sz w:val="24"/>
          <w:szCs w:val="24"/>
        </w:rPr>
      </w:pPr>
      <w:r w:rsidRPr="00C240BB">
        <w:rPr>
          <w:rFonts w:cs="Arial"/>
          <w:b/>
          <w:sz w:val="24"/>
          <w:szCs w:val="24"/>
        </w:rPr>
        <w:t xml:space="preserve">U Varaždinu, </w:t>
      </w:r>
      <w:r w:rsidR="005B3895" w:rsidRPr="00C240BB">
        <w:rPr>
          <w:rFonts w:cs="Arial"/>
          <w:b/>
          <w:sz w:val="24"/>
          <w:szCs w:val="24"/>
        </w:rPr>
        <w:t>31</w:t>
      </w:r>
      <w:r w:rsidR="002D2A5F" w:rsidRPr="00C240BB">
        <w:rPr>
          <w:rFonts w:cs="Arial"/>
          <w:b/>
          <w:sz w:val="24"/>
          <w:szCs w:val="24"/>
        </w:rPr>
        <w:t>.01.201</w:t>
      </w:r>
      <w:r w:rsidR="005E334E" w:rsidRPr="00C240BB">
        <w:rPr>
          <w:rFonts w:cs="Arial"/>
          <w:b/>
          <w:sz w:val="24"/>
          <w:szCs w:val="24"/>
        </w:rPr>
        <w:t>9</w:t>
      </w:r>
      <w:r w:rsidR="002D2A5F" w:rsidRPr="00C240BB">
        <w:rPr>
          <w:rFonts w:cs="Arial"/>
          <w:b/>
          <w:sz w:val="24"/>
          <w:szCs w:val="24"/>
        </w:rPr>
        <w:t>.</w:t>
      </w:r>
    </w:p>
    <w:p w:rsidR="00CB7451" w:rsidRPr="00C240BB" w:rsidRDefault="00CB7451" w:rsidP="00E421AC">
      <w:pPr>
        <w:rPr>
          <w:rFonts w:cs="Arial"/>
          <w:b/>
          <w:sz w:val="24"/>
          <w:szCs w:val="24"/>
        </w:rPr>
      </w:pPr>
    </w:p>
    <w:p w:rsidR="00E421AC" w:rsidRPr="00C240BB" w:rsidRDefault="00E421AC" w:rsidP="00E421AC">
      <w:pPr>
        <w:rPr>
          <w:rFonts w:cs="Arial"/>
          <w:b/>
          <w:i/>
          <w:iCs/>
          <w:sz w:val="24"/>
          <w:szCs w:val="24"/>
        </w:rPr>
      </w:pPr>
      <w:r w:rsidRPr="00C240BB">
        <w:rPr>
          <w:rFonts w:cs="Arial"/>
          <w:b/>
          <w:i/>
          <w:iCs/>
          <w:sz w:val="24"/>
          <w:szCs w:val="24"/>
        </w:rPr>
        <w:t>O</w:t>
      </w:r>
      <w:r w:rsidRPr="00C240BB">
        <w:rPr>
          <w:rFonts w:cs="Arial"/>
          <w:b/>
          <w:bCs/>
          <w:i/>
          <w:iCs/>
          <w:sz w:val="24"/>
          <w:szCs w:val="24"/>
        </w:rPr>
        <w:t xml:space="preserve">soba za kontakt: </w:t>
      </w:r>
    </w:p>
    <w:p w:rsidR="00E421AC" w:rsidRPr="00C240BB" w:rsidRDefault="005B3895" w:rsidP="00E421AC">
      <w:pPr>
        <w:rPr>
          <w:rFonts w:cs="Arial"/>
          <w:b/>
          <w:bCs/>
          <w:i/>
          <w:iCs/>
          <w:sz w:val="24"/>
          <w:szCs w:val="24"/>
        </w:rPr>
      </w:pPr>
      <w:proofErr w:type="spellStart"/>
      <w:r w:rsidRPr="00C240BB">
        <w:rPr>
          <w:rFonts w:cs="Arial"/>
          <w:bCs/>
          <w:i/>
          <w:iCs/>
          <w:sz w:val="24"/>
          <w:szCs w:val="24"/>
        </w:rPr>
        <w:t>Liljana</w:t>
      </w:r>
      <w:proofErr w:type="spellEnd"/>
      <w:r w:rsidRPr="00C240BB">
        <w:rPr>
          <w:rFonts w:cs="Arial"/>
          <w:bCs/>
          <w:i/>
          <w:iCs/>
          <w:sz w:val="24"/>
          <w:szCs w:val="24"/>
        </w:rPr>
        <w:t xml:space="preserve"> </w:t>
      </w:r>
      <w:proofErr w:type="spellStart"/>
      <w:r w:rsidRPr="00C240BB">
        <w:rPr>
          <w:rFonts w:cs="Arial"/>
          <w:bCs/>
          <w:i/>
          <w:iCs/>
          <w:sz w:val="24"/>
          <w:szCs w:val="24"/>
        </w:rPr>
        <w:t>Hudoletnjak</w:t>
      </w:r>
      <w:proofErr w:type="spellEnd"/>
      <w:r w:rsidR="003850B4" w:rsidRPr="00C240BB">
        <w:rPr>
          <w:rFonts w:cs="Arial"/>
          <w:bCs/>
          <w:i/>
          <w:iCs/>
          <w:sz w:val="24"/>
          <w:szCs w:val="24"/>
        </w:rPr>
        <w:t xml:space="preserve">, </w:t>
      </w:r>
      <w:proofErr w:type="spellStart"/>
      <w:r w:rsidR="003850B4" w:rsidRPr="00C240BB">
        <w:rPr>
          <w:rFonts w:cs="Arial"/>
          <w:bCs/>
          <w:i/>
          <w:iCs/>
          <w:sz w:val="24"/>
          <w:szCs w:val="24"/>
        </w:rPr>
        <w:t>mag.oec</w:t>
      </w:r>
      <w:proofErr w:type="spellEnd"/>
      <w:r w:rsidR="003850B4" w:rsidRPr="00C240BB">
        <w:rPr>
          <w:rFonts w:cs="Arial"/>
          <w:bCs/>
          <w:i/>
          <w:iCs/>
          <w:sz w:val="24"/>
          <w:szCs w:val="24"/>
        </w:rPr>
        <w:t>.</w:t>
      </w:r>
      <w:r w:rsidR="003850B4" w:rsidRPr="00C240BB">
        <w:rPr>
          <w:rFonts w:cs="Arial"/>
          <w:b/>
          <w:bCs/>
          <w:i/>
          <w:iCs/>
          <w:sz w:val="24"/>
          <w:szCs w:val="24"/>
        </w:rPr>
        <w:t xml:space="preserve"> </w:t>
      </w:r>
      <w:r w:rsidR="00E421AC" w:rsidRPr="00C240BB">
        <w:rPr>
          <w:rFonts w:cs="Arial"/>
          <w:b/>
          <w:bCs/>
          <w:i/>
          <w:iCs/>
          <w:sz w:val="24"/>
          <w:szCs w:val="24"/>
        </w:rPr>
        <w:t xml:space="preserve"> </w:t>
      </w:r>
      <w:r w:rsidR="003850B4" w:rsidRPr="00C240BB">
        <w:rPr>
          <w:rFonts w:cs="Arial"/>
          <w:b/>
          <w:bCs/>
          <w:i/>
          <w:iCs/>
          <w:sz w:val="24"/>
          <w:szCs w:val="24"/>
        </w:rPr>
        <w:t xml:space="preserve">                </w:t>
      </w:r>
      <w:r w:rsidR="00E421AC" w:rsidRPr="00C240BB">
        <w:rPr>
          <w:rFonts w:cs="Arial"/>
          <w:b/>
          <w:bCs/>
          <w:i/>
          <w:iCs/>
          <w:sz w:val="24"/>
          <w:szCs w:val="24"/>
        </w:rPr>
        <w:tab/>
        <w:t xml:space="preserve">        </w:t>
      </w:r>
      <w:r w:rsidR="003850B4" w:rsidRPr="00C240BB">
        <w:rPr>
          <w:rFonts w:cs="Arial"/>
          <w:b/>
          <w:bCs/>
          <w:i/>
          <w:iCs/>
          <w:sz w:val="24"/>
          <w:szCs w:val="24"/>
        </w:rPr>
        <w:t xml:space="preserve">   </w:t>
      </w:r>
      <w:r w:rsidR="00E421AC" w:rsidRPr="00C240BB">
        <w:rPr>
          <w:rFonts w:cs="Arial"/>
          <w:b/>
          <w:bCs/>
          <w:i/>
          <w:iCs/>
          <w:sz w:val="24"/>
          <w:szCs w:val="24"/>
        </w:rPr>
        <w:t xml:space="preserve"> </w:t>
      </w:r>
      <w:r w:rsidR="0080284B">
        <w:rPr>
          <w:rFonts w:cs="Arial"/>
          <w:b/>
          <w:bCs/>
          <w:i/>
          <w:iCs/>
          <w:sz w:val="24"/>
          <w:szCs w:val="24"/>
        </w:rPr>
        <w:t xml:space="preserve">      </w:t>
      </w:r>
      <w:r w:rsidR="00E421AC" w:rsidRPr="00C240BB">
        <w:rPr>
          <w:rFonts w:cs="Arial"/>
          <w:b/>
          <w:bCs/>
          <w:i/>
          <w:iCs/>
          <w:sz w:val="24"/>
          <w:szCs w:val="24"/>
        </w:rPr>
        <w:t xml:space="preserve">       Zakonski predstavnik:</w:t>
      </w:r>
    </w:p>
    <w:p w:rsidR="00E421AC" w:rsidRPr="00C240BB" w:rsidRDefault="003850B4" w:rsidP="003850B4">
      <w:pPr>
        <w:tabs>
          <w:tab w:val="right" w:pos="9072"/>
        </w:tabs>
        <w:rPr>
          <w:rFonts w:cs="Times New Roman"/>
          <w:i/>
          <w:sz w:val="24"/>
          <w:szCs w:val="24"/>
        </w:rPr>
      </w:pPr>
      <w:r w:rsidRPr="00C240BB">
        <w:rPr>
          <w:rFonts w:cs="Arial"/>
          <w:bCs/>
          <w:i/>
          <w:iCs/>
          <w:sz w:val="24"/>
          <w:szCs w:val="24"/>
        </w:rPr>
        <w:t xml:space="preserve">tel. 042/330-844    </w:t>
      </w:r>
      <w:r w:rsidRPr="00C240BB">
        <w:rPr>
          <w:rFonts w:cs="Times New Roman"/>
          <w:bCs/>
          <w:i/>
          <w:iCs/>
          <w:sz w:val="24"/>
          <w:szCs w:val="24"/>
        </w:rPr>
        <w:t xml:space="preserve">                                                                        </w:t>
      </w:r>
      <w:r w:rsidR="00E421AC" w:rsidRPr="00C240BB">
        <w:rPr>
          <w:rFonts w:cs="Arial"/>
          <w:bCs/>
          <w:i/>
          <w:iCs/>
          <w:sz w:val="24"/>
          <w:szCs w:val="24"/>
        </w:rPr>
        <w:t xml:space="preserve">Zdravka </w:t>
      </w:r>
      <w:proofErr w:type="spellStart"/>
      <w:r w:rsidR="00E421AC" w:rsidRPr="00C240BB">
        <w:rPr>
          <w:rFonts w:cs="Arial"/>
          <w:bCs/>
          <w:i/>
          <w:iCs/>
          <w:sz w:val="24"/>
          <w:szCs w:val="24"/>
        </w:rPr>
        <w:t>Grđan</w:t>
      </w:r>
      <w:proofErr w:type="spellEnd"/>
      <w:r w:rsidR="00E421AC" w:rsidRPr="00C240BB">
        <w:rPr>
          <w:rFonts w:cs="Arial"/>
          <w:bCs/>
          <w:i/>
          <w:iCs/>
          <w:sz w:val="24"/>
          <w:szCs w:val="24"/>
        </w:rPr>
        <w:t>, prof.</w:t>
      </w:r>
      <w:r w:rsidR="00E421AC" w:rsidRPr="00C240BB">
        <w:rPr>
          <w:rFonts w:cs="Times New Roman"/>
          <w:bCs/>
          <w:i/>
          <w:iCs/>
          <w:sz w:val="24"/>
          <w:szCs w:val="24"/>
        </w:rPr>
        <w:tab/>
      </w:r>
    </w:p>
    <w:sectPr w:rsidR="00E421AC" w:rsidRPr="00C240BB" w:rsidSect="0082193D">
      <w:headerReference w:type="default" r:id="rId9"/>
      <w:footerReference w:type="default" r:id="rId10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BA" w:rsidRDefault="00AF0EBA" w:rsidP="008E0B98">
      <w:pPr>
        <w:spacing w:after="0" w:line="240" w:lineRule="auto"/>
      </w:pPr>
      <w:r>
        <w:separator/>
      </w:r>
    </w:p>
  </w:endnote>
  <w:endnote w:type="continuationSeparator" w:id="0">
    <w:p w:rsidR="00AF0EBA" w:rsidRDefault="00AF0EBA" w:rsidP="008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00684"/>
      <w:docPartObj>
        <w:docPartGallery w:val="Page Numbers (Bottom of Page)"/>
        <w:docPartUnique/>
      </w:docPartObj>
    </w:sdtPr>
    <w:sdtEndPr/>
    <w:sdtContent>
      <w:p w:rsidR="00280873" w:rsidRDefault="004B41BA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76A10D4" wp14:editId="3B149B83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280873" w:rsidRDefault="00A70CFB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219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80873" w:rsidRDefault="002808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BA" w:rsidRDefault="00AF0EBA" w:rsidP="008E0B98">
      <w:pPr>
        <w:spacing w:after="0" w:line="240" w:lineRule="auto"/>
      </w:pPr>
      <w:r>
        <w:separator/>
      </w:r>
    </w:p>
  </w:footnote>
  <w:footnote w:type="continuationSeparator" w:id="0">
    <w:p w:rsidR="00AF0EBA" w:rsidRDefault="00AF0EBA" w:rsidP="008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3" w:rsidRDefault="00AA4A82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8653D" wp14:editId="2740A0FD">
          <wp:simplePos x="0" y="0"/>
          <wp:positionH relativeFrom="column">
            <wp:posOffset>-204470</wp:posOffset>
          </wp:positionH>
          <wp:positionV relativeFrom="paragraph">
            <wp:posOffset>-179070</wp:posOffset>
          </wp:positionV>
          <wp:extent cx="1200150" cy="1247775"/>
          <wp:effectExtent l="0" t="0" r="0" b="952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DCDA" wp14:editId="6C619A51">
              <wp:simplePos x="0" y="0"/>
              <wp:positionH relativeFrom="column">
                <wp:posOffset>3681730</wp:posOffset>
              </wp:positionH>
              <wp:positionV relativeFrom="paragraph">
                <wp:posOffset>-45720</wp:posOffset>
              </wp:positionV>
              <wp:extent cx="2741295" cy="1330325"/>
              <wp:effectExtent l="0" t="0" r="0" b="3175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3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A82" w:rsidRPr="00AA4A82" w:rsidRDefault="00AA4A82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Telefon: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(0)42 330 844</w:t>
                          </w:r>
                        </w:p>
                        <w:p w:rsidR="00AA4A82" w:rsidRPr="00AA4A82" w:rsidRDefault="00AA4A82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(0)42 330 756</w:t>
                          </w:r>
                        </w:p>
                        <w:p w:rsidR="00AA4A82" w:rsidRPr="00AA4A82" w:rsidRDefault="00AA4A82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Telefax</w:t>
                          </w:r>
                          <w:proofErr w:type="spellEnd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(0)42 330 842</w:t>
                          </w:r>
                        </w:p>
                        <w:p w:rsidR="00AA4A82" w:rsidRPr="00AA4A82" w:rsidRDefault="00AA4A82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OIB: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27344762042</w:t>
                          </w:r>
                        </w:p>
                        <w:p w:rsidR="00AA4A82" w:rsidRPr="00AA4A82" w:rsidRDefault="00AA4A82" w:rsidP="00AA4A8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Žiro račun-IBAN: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HR3223600001102700450 ZABA d.d.</w:t>
                          </w:r>
                        </w:p>
                        <w:p w:rsidR="00AA4A82" w:rsidRPr="00AA4A82" w:rsidRDefault="00AA4A82" w:rsidP="00AA4A82">
                          <w:pPr>
                            <w:spacing w:after="0" w:line="240" w:lineRule="auto"/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E-mail: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  <w:t>2gimnvz@gmail.com</w:t>
                          </w:r>
                        </w:p>
                        <w:p w:rsidR="00AA4A82" w:rsidRPr="00AA4A82" w:rsidRDefault="00AA4A82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i"/>
                              <w:rFonts w:ascii="Times New Roman" w:hAnsi="Times New Roman"/>
                              <w:sz w:val="16"/>
                              <w:szCs w:val="16"/>
                            </w:rPr>
                            <w:t>info@gimnazija-druga-vz.skole.hr</w:t>
                          </w:r>
                        </w:p>
                        <w:p w:rsidR="00AA4A82" w:rsidRPr="00AA4A82" w:rsidRDefault="00AA4A82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www.gimnazija</w:t>
                          </w:r>
                          <w:proofErr w:type="spellEnd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-druga-vz.skole.hr</w:t>
                          </w:r>
                        </w:p>
                        <w:p w:rsidR="00AA4A82" w:rsidRPr="00DE217E" w:rsidRDefault="00AA4A82" w:rsidP="00BA018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A4A82" w:rsidRPr="00DE217E" w:rsidRDefault="00AA4A82" w:rsidP="00BA018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289.9pt;margin-top:-3.6pt;width:215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" filled="f" stroked="f" strokeweight=".5pt">
              <v:textbox>
                <w:txbxContent>
                  <w:p w:rsidR="00AA4A82" w:rsidRPr="00AA4A82" w:rsidRDefault="00AA4A82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Telefon: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(0)42 330 844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(0)42 330 756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Telefax</w:t>
                    </w:r>
                    <w:proofErr w:type="spellEnd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(0)42 330 842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OIB: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27344762042</w:t>
                    </w:r>
                  </w:p>
                  <w:p w:rsidR="00AA4A82" w:rsidRPr="00AA4A82" w:rsidRDefault="00AA4A82" w:rsidP="00AA4A82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Žiro račun-IBAN: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HR3223600001102700450 ZABA d.d.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E-mail: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  <w:t>2gimnvz@gmail.com</w:t>
                    </w:r>
                  </w:p>
                  <w:p w:rsidR="00AA4A82" w:rsidRPr="00AA4A82" w:rsidRDefault="00AA4A82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i"/>
                        <w:rFonts w:ascii="Times New Roman" w:hAnsi="Times New Roman"/>
                        <w:sz w:val="16"/>
                        <w:szCs w:val="16"/>
                      </w:rPr>
                      <w:t>info@gimnazija-druga-vz.skole.hr</w:t>
                    </w:r>
                  </w:p>
                  <w:p w:rsidR="00AA4A82" w:rsidRPr="00AA4A82" w:rsidRDefault="00AA4A82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proofErr w:type="spellStart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www.gimnazija</w:t>
                    </w:r>
                    <w:proofErr w:type="spellEnd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-druga-vz.skole.hr</w:t>
                    </w:r>
                  </w:p>
                  <w:p w:rsidR="00AA4A82" w:rsidRPr="00DE217E" w:rsidRDefault="00AA4A82" w:rsidP="00BA018F">
                    <w:pPr>
                      <w:rPr>
                        <w:sz w:val="18"/>
                        <w:szCs w:val="18"/>
                      </w:rPr>
                    </w:pPr>
                  </w:p>
                  <w:p w:rsidR="00AA4A82" w:rsidRPr="00DE217E" w:rsidRDefault="00AA4A82" w:rsidP="00BA018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7DA3" w:rsidRPr="00AA4A82" w:rsidRDefault="00437DA3" w:rsidP="00437DA3">
    <w:pPr>
      <w:spacing w:after="0"/>
      <w:rPr>
        <w:rFonts w:ascii="Times New Roman" w:hAnsi="Times New Roman" w:cs="Times New Roman"/>
        <w:b/>
        <w:bCs/>
        <w:sz w:val="30"/>
        <w:szCs w:val="30"/>
      </w:rPr>
    </w:pPr>
    <w:r>
      <w:tab/>
      <w:t xml:space="preserve">                       </w:t>
    </w:r>
    <w:r w:rsidR="00AA4A82">
      <w:t xml:space="preserve">    </w:t>
    </w:r>
    <w:r>
      <w:t xml:space="preserve"> </w:t>
    </w:r>
    <w:r w:rsidRPr="00AA4A82">
      <w:rPr>
        <w:rFonts w:ascii="Times New Roman" w:hAnsi="Times New Roman" w:cs="Times New Roman"/>
        <w:b/>
        <w:bCs/>
        <w:sz w:val="30"/>
        <w:szCs w:val="30"/>
      </w:rPr>
      <w:t xml:space="preserve">Druga gimnazija Varaždin   </w:t>
    </w:r>
  </w:p>
  <w:p w:rsidR="00437DA3" w:rsidRPr="00AA4A82" w:rsidRDefault="00437DA3" w:rsidP="00437DA3">
    <w:pPr>
      <w:spacing w:after="0"/>
      <w:rPr>
        <w:rFonts w:ascii="Times New Roman" w:hAnsi="Times New Roman" w:cs="Times New Roman"/>
      </w:rPr>
    </w:pPr>
    <w:r w:rsidRPr="00AA4A82">
      <w:rPr>
        <w:rFonts w:ascii="Times New Roman" w:hAnsi="Times New Roman" w:cs="Times New Roman"/>
      </w:rPr>
      <w:t xml:space="preserve">            </w:t>
    </w:r>
    <w:r w:rsidR="00AA4A82">
      <w:rPr>
        <w:rFonts w:ascii="Times New Roman" w:hAnsi="Times New Roman" w:cs="Times New Roman"/>
      </w:rPr>
      <w:t xml:space="preserve">                        </w:t>
    </w:r>
    <w:r w:rsidRPr="00AA4A82">
      <w:rPr>
        <w:rFonts w:ascii="Times New Roman" w:hAnsi="Times New Roman" w:cs="Times New Roman"/>
      </w:rPr>
      <w:t xml:space="preserve">   </w:t>
    </w:r>
    <w:proofErr w:type="spellStart"/>
    <w:r w:rsidRPr="00AA4A82">
      <w:rPr>
        <w:rFonts w:ascii="Times New Roman" w:hAnsi="Times New Roman" w:cs="Times New Roman"/>
      </w:rPr>
      <w:t>Hallerova</w:t>
    </w:r>
    <w:proofErr w:type="spellEnd"/>
    <w:r w:rsidRPr="00AA4A82">
      <w:rPr>
        <w:rFonts w:ascii="Times New Roman" w:hAnsi="Times New Roman" w:cs="Times New Roman"/>
      </w:rPr>
      <w:t xml:space="preserve"> aleja 6a,  42000 Varaždin</w:t>
    </w:r>
  </w:p>
  <w:p w:rsidR="008E0B98" w:rsidRDefault="00437DA3" w:rsidP="00437DA3">
    <w:pPr>
      <w:pStyle w:val="Zaglavlje"/>
      <w:tabs>
        <w:tab w:val="clear" w:pos="4536"/>
        <w:tab w:val="clear" w:pos="9072"/>
        <w:tab w:val="left" w:pos="2160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85"/>
    <w:multiLevelType w:val="hybridMultilevel"/>
    <w:tmpl w:val="1E1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445"/>
    <w:multiLevelType w:val="hybridMultilevel"/>
    <w:tmpl w:val="281E6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84"/>
    <w:multiLevelType w:val="hybridMultilevel"/>
    <w:tmpl w:val="F63AC982"/>
    <w:lvl w:ilvl="0" w:tplc="3EF6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11080"/>
    <w:multiLevelType w:val="hybridMultilevel"/>
    <w:tmpl w:val="DD1641B6"/>
    <w:lvl w:ilvl="0" w:tplc="56C42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506"/>
    <w:multiLevelType w:val="hybridMultilevel"/>
    <w:tmpl w:val="B5B0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1A34"/>
    <w:multiLevelType w:val="hybridMultilevel"/>
    <w:tmpl w:val="687E1E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1911"/>
    <w:multiLevelType w:val="hybridMultilevel"/>
    <w:tmpl w:val="32BE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DD1"/>
    <w:multiLevelType w:val="hybridMultilevel"/>
    <w:tmpl w:val="62F61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E146C"/>
    <w:multiLevelType w:val="hybridMultilevel"/>
    <w:tmpl w:val="DF72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D07FE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4328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B"/>
    <w:rsid w:val="0001235F"/>
    <w:rsid w:val="000132A7"/>
    <w:rsid w:val="000208B7"/>
    <w:rsid w:val="000235E6"/>
    <w:rsid w:val="00047EA9"/>
    <w:rsid w:val="00085AC5"/>
    <w:rsid w:val="0009266B"/>
    <w:rsid w:val="000B77EA"/>
    <w:rsid w:val="0012574A"/>
    <w:rsid w:val="00147C42"/>
    <w:rsid w:val="001F2DCF"/>
    <w:rsid w:val="001F68A4"/>
    <w:rsid w:val="002050DE"/>
    <w:rsid w:val="00221825"/>
    <w:rsid w:val="00241D0C"/>
    <w:rsid w:val="00250225"/>
    <w:rsid w:val="00274B56"/>
    <w:rsid w:val="00276179"/>
    <w:rsid w:val="00276C10"/>
    <w:rsid w:val="00280873"/>
    <w:rsid w:val="00293D3B"/>
    <w:rsid w:val="002A2505"/>
    <w:rsid w:val="002C1E5B"/>
    <w:rsid w:val="002C7449"/>
    <w:rsid w:val="002D005D"/>
    <w:rsid w:val="002D2A5F"/>
    <w:rsid w:val="00305167"/>
    <w:rsid w:val="00320BDC"/>
    <w:rsid w:val="00335373"/>
    <w:rsid w:val="003850B4"/>
    <w:rsid w:val="003E7609"/>
    <w:rsid w:val="00407B4A"/>
    <w:rsid w:val="00437DA3"/>
    <w:rsid w:val="004A77C8"/>
    <w:rsid w:val="004B35D3"/>
    <w:rsid w:val="004B41BA"/>
    <w:rsid w:val="004C4D68"/>
    <w:rsid w:val="004E072A"/>
    <w:rsid w:val="0054559F"/>
    <w:rsid w:val="00555DBE"/>
    <w:rsid w:val="00596911"/>
    <w:rsid w:val="005B3895"/>
    <w:rsid w:val="005E2796"/>
    <w:rsid w:val="005E334E"/>
    <w:rsid w:val="00661113"/>
    <w:rsid w:val="0066414F"/>
    <w:rsid w:val="006666E9"/>
    <w:rsid w:val="006728B1"/>
    <w:rsid w:val="00780546"/>
    <w:rsid w:val="00793F15"/>
    <w:rsid w:val="0080284B"/>
    <w:rsid w:val="0082193D"/>
    <w:rsid w:val="00833431"/>
    <w:rsid w:val="00866718"/>
    <w:rsid w:val="00873A45"/>
    <w:rsid w:val="00873CBB"/>
    <w:rsid w:val="00874BFE"/>
    <w:rsid w:val="008765E8"/>
    <w:rsid w:val="008A0A35"/>
    <w:rsid w:val="008D7A10"/>
    <w:rsid w:val="008E0B98"/>
    <w:rsid w:val="009179AF"/>
    <w:rsid w:val="0092536B"/>
    <w:rsid w:val="00985643"/>
    <w:rsid w:val="009A0C95"/>
    <w:rsid w:val="009C08B6"/>
    <w:rsid w:val="009F2CD6"/>
    <w:rsid w:val="00A0097A"/>
    <w:rsid w:val="00A70CFB"/>
    <w:rsid w:val="00A85F05"/>
    <w:rsid w:val="00AA4A82"/>
    <w:rsid w:val="00AF0EBA"/>
    <w:rsid w:val="00B10602"/>
    <w:rsid w:val="00B22FD7"/>
    <w:rsid w:val="00B54263"/>
    <w:rsid w:val="00B91427"/>
    <w:rsid w:val="00BB0459"/>
    <w:rsid w:val="00BB3E7E"/>
    <w:rsid w:val="00BD1654"/>
    <w:rsid w:val="00BD2D58"/>
    <w:rsid w:val="00BD6C10"/>
    <w:rsid w:val="00C240BB"/>
    <w:rsid w:val="00C31121"/>
    <w:rsid w:val="00C66F11"/>
    <w:rsid w:val="00CA7449"/>
    <w:rsid w:val="00CB7451"/>
    <w:rsid w:val="00CC5556"/>
    <w:rsid w:val="00CC60CC"/>
    <w:rsid w:val="00CD3CFF"/>
    <w:rsid w:val="00D94D1A"/>
    <w:rsid w:val="00DD0536"/>
    <w:rsid w:val="00E034D1"/>
    <w:rsid w:val="00E30424"/>
    <w:rsid w:val="00E421AC"/>
    <w:rsid w:val="00E42549"/>
    <w:rsid w:val="00E42DD4"/>
    <w:rsid w:val="00E87056"/>
    <w:rsid w:val="00EF632A"/>
    <w:rsid w:val="00F053B6"/>
    <w:rsid w:val="00F1602D"/>
    <w:rsid w:val="00F2594B"/>
    <w:rsid w:val="00F657A0"/>
    <w:rsid w:val="00F814DD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4347-4617-4691-9530-690A4F05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Sipek</dc:creator>
  <cp:lastModifiedBy>Korisnik</cp:lastModifiedBy>
  <cp:revision>50</cp:revision>
  <dcterms:created xsi:type="dcterms:W3CDTF">2018-01-29T11:52:00Z</dcterms:created>
  <dcterms:modified xsi:type="dcterms:W3CDTF">2019-01-31T08:04:00Z</dcterms:modified>
</cp:coreProperties>
</file>